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outlineLvl w:val="0"/>
        <w:rPr>
          <w:rFonts w:ascii="微软雅黑" w:hAnsi="微软雅黑" w:eastAsia="微软雅黑" w:cs="微软雅黑"/>
          <w:b/>
          <w:sz w:val="32"/>
          <w:szCs w:val="32"/>
          <w:highlight w:val="none"/>
        </w:rPr>
      </w:pPr>
      <w:bookmarkStart w:id="10" w:name="_GoBack"/>
      <w:bookmarkStart w:id="0" w:name="_Toc1331"/>
      <w:r>
        <w:rPr>
          <w:rFonts w:hint="eastAsia" w:ascii="微软雅黑" w:hAnsi="微软雅黑" w:eastAsia="微软雅黑" w:cs="微软雅黑"/>
          <w:b/>
          <w:sz w:val="32"/>
          <w:szCs w:val="32"/>
          <w:highlight w:val="none"/>
        </w:rPr>
        <w:t>第四章  需求及技术规格</w:t>
      </w:r>
      <w:bookmarkEnd w:id="10"/>
      <w:bookmarkEnd w:id="0"/>
    </w:p>
    <w:p>
      <w:pPr>
        <w:spacing w:line="340" w:lineRule="exact"/>
        <w:ind w:left="-71" w:firstLine="447" w:firstLineChars="212"/>
        <w:rPr>
          <w:rFonts w:ascii="宋体" w:hAnsi="宋体"/>
          <w:b/>
          <w:bCs/>
          <w:szCs w:val="21"/>
          <w:highlight w:val="none"/>
        </w:rPr>
      </w:pPr>
    </w:p>
    <w:p>
      <w:pPr>
        <w:jc w:val="center"/>
        <w:outlineLvl w:val="1"/>
        <w:rPr>
          <w:rFonts w:ascii="微软雅黑" w:hAnsi="微软雅黑" w:eastAsia="微软雅黑" w:cs="微软雅黑"/>
          <w:b/>
          <w:sz w:val="24"/>
          <w:szCs w:val="24"/>
          <w:highlight w:val="none"/>
        </w:rPr>
      </w:pPr>
      <w:bookmarkStart w:id="1" w:name="_Toc24986"/>
      <w:r>
        <w:rPr>
          <w:rFonts w:hint="eastAsia" w:ascii="微软雅黑" w:hAnsi="微软雅黑" w:eastAsia="微软雅黑" w:cs="微软雅黑"/>
          <w:b/>
          <w:sz w:val="24"/>
          <w:szCs w:val="24"/>
          <w:highlight w:val="none"/>
        </w:rPr>
        <w:t>第一节  说明</w:t>
      </w:r>
      <w:bookmarkEnd w:id="1"/>
    </w:p>
    <w:p>
      <w:pPr>
        <w:spacing w:line="440" w:lineRule="exact"/>
        <w:ind w:firstLine="420" w:firstLineChars="200"/>
        <w:rPr>
          <w:rFonts w:ascii="宋体" w:hAnsi="宋体"/>
          <w:b/>
          <w:bCs/>
          <w:szCs w:val="21"/>
          <w:highlight w:val="none"/>
        </w:rPr>
      </w:pPr>
      <w:r>
        <w:rPr>
          <w:rFonts w:hint="eastAsia" w:ascii="宋体" w:hAnsi="宋体"/>
          <w:szCs w:val="21"/>
          <w:highlight w:val="none"/>
        </w:rPr>
        <w:t>1、投标人必须对本招标文件所列的所有采购内容进行投标，不得将项目中的内容拆开投标，如果项目有分包的，投标人也可以只对其中一个或几个分包进行投标，但不得将一个包中的内容拆开投标，否则将导致其投标被拒绝。投标人须认真填写第五章的偏离表，偏离表将作为重要的评标依据。</w:t>
      </w:r>
    </w:p>
    <w:p>
      <w:pPr>
        <w:spacing w:line="440" w:lineRule="exact"/>
        <w:ind w:firstLine="422" w:firstLineChars="200"/>
        <w:rPr>
          <w:rFonts w:ascii="宋体" w:hAnsi="宋体"/>
          <w:b/>
          <w:highlight w:val="none"/>
        </w:rPr>
      </w:pPr>
      <w:r>
        <w:rPr>
          <w:rFonts w:hint="eastAsia" w:ascii="宋体" w:hAnsi="宋体"/>
          <w:b/>
          <w:highlight w:val="none"/>
        </w:rPr>
        <w:t>重点说明：偏离表中“偏离度”由投标人自行判断后填写，内容仅供评委参考，</w:t>
      </w:r>
      <w:r>
        <w:rPr>
          <w:rFonts w:ascii="宋体" w:hAnsi="宋体"/>
          <w:b/>
          <w:highlight w:val="none"/>
        </w:rPr>
        <w:t>评标委员会将根据</w:t>
      </w:r>
      <w:r>
        <w:rPr>
          <w:rFonts w:hint="eastAsia" w:ascii="宋体" w:hAnsi="宋体"/>
          <w:b/>
          <w:highlight w:val="none"/>
        </w:rPr>
        <w:t>具体响应内容</w:t>
      </w:r>
      <w:r>
        <w:rPr>
          <w:rFonts w:ascii="宋体" w:hAnsi="宋体"/>
          <w:b/>
          <w:highlight w:val="none"/>
        </w:rPr>
        <w:t>给予是否偏离的认定，并以此</w:t>
      </w:r>
      <w:r>
        <w:rPr>
          <w:rFonts w:hint="eastAsia" w:ascii="宋体" w:hAnsi="宋体"/>
          <w:b/>
          <w:highlight w:val="none"/>
        </w:rPr>
        <w:t>作为</w:t>
      </w:r>
      <w:r>
        <w:rPr>
          <w:rFonts w:ascii="宋体" w:hAnsi="宋体"/>
          <w:b/>
          <w:highlight w:val="none"/>
        </w:rPr>
        <w:t>最终评判</w:t>
      </w:r>
      <w:r>
        <w:rPr>
          <w:rFonts w:hint="eastAsia" w:ascii="宋体" w:hAnsi="宋体"/>
          <w:b/>
          <w:szCs w:val="22"/>
          <w:highlight w:val="none"/>
        </w:rPr>
        <w:t>。</w:t>
      </w:r>
      <w:r>
        <w:rPr>
          <w:rFonts w:hint="eastAsia" w:ascii="宋体" w:hAnsi="宋体"/>
          <w:b/>
          <w:highlight w:val="none"/>
        </w:rPr>
        <w:t>需求中要求提供证书、检测报告、承诺函或其他证明文件的，如投标人未按要求提供或提供的文件无法证明对应事项的，该项要求的响应偏离度评委会有权认定为“负偏离”，若该项要求为不可偏离项或实质性要求，做无效标处理；若该项要求非不可偏离项，则按评分标准做相应扣分处理。</w:t>
      </w:r>
    </w:p>
    <w:p>
      <w:pPr>
        <w:spacing w:line="440" w:lineRule="exact"/>
        <w:ind w:firstLine="422" w:firstLineChars="200"/>
        <w:rPr>
          <w:rFonts w:ascii="宋体" w:hAnsi="宋体"/>
          <w:b/>
          <w:bCs/>
          <w:szCs w:val="21"/>
          <w:highlight w:val="none"/>
        </w:rPr>
      </w:pPr>
      <w:r>
        <w:rPr>
          <w:rFonts w:hint="eastAsia" w:ascii="宋体" w:hAnsi="宋体"/>
          <w:b/>
          <w:bCs/>
          <w:szCs w:val="21"/>
          <w:highlight w:val="none"/>
        </w:rPr>
        <w:t>2、</w:t>
      </w:r>
      <w:r>
        <w:rPr>
          <w:rFonts w:ascii="宋体" w:hAnsi="宋体"/>
          <w:b/>
          <w:bCs/>
          <w:szCs w:val="21"/>
          <w:highlight w:val="none"/>
        </w:rPr>
        <w:t>本招标文件要求中，凡标有</w:t>
      </w:r>
      <w:r>
        <w:rPr>
          <w:rFonts w:hint="eastAsia" w:ascii="宋体" w:hAnsi="宋体"/>
          <w:b/>
          <w:bCs/>
          <w:szCs w:val="21"/>
          <w:highlight w:val="none"/>
        </w:rPr>
        <w:t>“★”</w:t>
      </w:r>
      <w:r>
        <w:rPr>
          <w:rFonts w:ascii="宋体" w:hAnsi="宋体"/>
          <w:b/>
          <w:bCs/>
          <w:szCs w:val="21"/>
          <w:highlight w:val="none"/>
        </w:rPr>
        <w:t>的地方均被视为</w:t>
      </w:r>
      <w:r>
        <w:rPr>
          <w:rFonts w:hint="eastAsia" w:ascii="宋体" w:hAnsi="宋体"/>
          <w:b/>
          <w:bCs/>
          <w:szCs w:val="21"/>
          <w:highlight w:val="none"/>
        </w:rPr>
        <w:t>不可偏离条款，</w:t>
      </w:r>
      <w:r>
        <w:rPr>
          <w:rFonts w:ascii="宋体" w:hAnsi="宋体"/>
          <w:b/>
          <w:bCs/>
          <w:szCs w:val="21"/>
          <w:highlight w:val="none"/>
        </w:rPr>
        <w:t>投标人要特别加以注意</w:t>
      </w:r>
      <w:r>
        <w:rPr>
          <w:rFonts w:hint="eastAsia" w:ascii="宋体" w:hAnsi="宋体"/>
          <w:b/>
          <w:bCs/>
          <w:szCs w:val="21"/>
          <w:highlight w:val="none"/>
        </w:rPr>
        <w:t>并予以响应，</w:t>
      </w:r>
      <w:r>
        <w:rPr>
          <w:rFonts w:ascii="宋体" w:hAnsi="宋体"/>
          <w:b/>
          <w:bCs/>
          <w:szCs w:val="21"/>
          <w:highlight w:val="none"/>
        </w:rPr>
        <w:t>否则，若有一项带</w:t>
      </w:r>
      <w:r>
        <w:rPr>
          <w:rFonts w:hint="eastAsia" w:ascii="宋体" w:hAnsi="宋体"/>
          <w:b/>
          <w:bCs/>
          <w:szCs w:val="21"/>
          <w:highlight w:val="none"/>
        </w:rPr>
        <w:t>“★”</w:t>
      </w:r>
      <w:r>
        <w:rPr>
          <w:rFonts w:ascii="宋体" w:hAnsi="宋体"/>
          <w:b/>
          <w:bCs/>
          <w:szCs w:val="21"/>
          <w:highlight w:val="none"/>
        </w:rPr>
        <w:t>的</w:t>
      </w:r>
      <w:r>
        <w:rPr>
          <w:rFonts w:hint="eastAsia" w:ascii="宋体" w:hAnsi="宋体"/>
          <w:b/>
          <w:bCs/>
          <w:szCs w:val="21"/>
          <w:highlight w:val="none"/>
        </w:rPr>
        <w:t>要求</w:t>
      </w:r>
      <w:r>
        <w:rPr>
          <w:rFonts w:ascii="宋体" w:hAnsi="宋体"/>
          <w:b/>
          <w:bCs/>
          <w:szCs w:val="21"/>
          <w:highlight w:val="none"/>
        </w:rPr>
        <w:t>未响应或不满足，将按投标无效处理</w:t>
      </w:r>
      <w:r>
        <w:rPr>
          <w:rFonts w:hint="eastAsia" w:ascii="宋体" w:hAnsi="宋体"/>
          <w:b/>
          <w:bCs/>
          <w:szCs w:val="21"/>
          <w:highlight w:val="none"/>
        </w:rPr>
        <w:t>；</w:t>
      </w:r>
      <w:r>
        <w:rPr>
          <w:rFonts w:ascii="宋体" w:hAnsi="宋体"/>
          <w:b/>
          <w:bCs/>
          <w:szCs w:val="21"/>
          <w:highlight w:val="none"/>
        </w:rPr>
        <w:t>凡标有</w:t>
      </w:r>
      <w:r>
        <w:rPr>
          <w:rFonts w:hint="eastAsia" w:ascii="宋体" w:hAnsi="宋体"/>
          <w:b/>
          <w:bCs/>
          <w:szCs w:val="21"/>
          <w:highlight w:val="none"/>
        </w:rPr>
        <w:t xml:space="preserve"> “▲”</w:t>
      </w:r>
      <w:r>
        <w:rPr>
          <w:rFonts w:ascii="宋体" w:hAnsi="宋体"/>
          <w:b/>
          <w:bCs/>
          <w:szCs w:val="21"/>
          <w:highlight w:val="none"/>
        </w:rPr>
        <w:t>的地方均被视为重要要求</w:t>
      </w:r>
      <w:r>
        <w:rPr>
          <w:rFonts w:hint="eastAsia" w:ascii="宋体" w:hAnsi="宋体"/>
          <w:b/>
          <w:bCs/>
          <w:szCs w:val="21"/>
          <w:highlight w:val="none"/>
        </w:rPr>
        <w:t>，若有带“▲”的要求未响应或不满足的，将按加重扣分处理</w:t>
      </w:r>
      <w:r>
        <w:rPr>
          <w:rFonts w:ascii="宋体" w:hAnsi="宋体"/>
          <w:b/>
          <w:bCs/>
          <w:szCs w:val="21"/>
          <w:highlight w:val="none"/>
        </w:rPr>
        <w:t>。</w:t>
      </w:r>
    </w:p>
    <w:p>
      <w:pPr>
        <w:spacing w:line="440" w:lineRule="exact"/>
        <w:jc w:val="center"/>
        <w:rPr>
          <w:rFonts w:ascii="宋体" w:hAnsi="宋体"/>
          <w:b/>
          <w:bCs/>
          <w:szCs w:val="21"/>
          <w:highlight w:val="none"/>
        </w:rPr>
      </w:pPr>
    </w:p>
    <w:p>
      <w:pPr>
        <w:jc w:val="center"/>
        <w:outlineLvl w:val="1"/>
        <w:rPr>
          <w:rFonts w:ascii="微软雅黑" w:hAnsi="微软雅黑" w:eastAsia="微软雅黑" w:cs="微软雅黑"/>
          <w:b/>
          <w:sz w:val="24"/>
          <w:szCs w:val="24"/>
          <w:highlight w:val="none"/>
        </w:rPr>
      </w:pPr>
      <w:bookmarkStart w:id="2" w:name="_Toc28899"/>
      <w:r>
        <w:rPr>
          <w:rFonts w:hint="eastAsia" w:ascii="微软雅黑" w:hAnsi="微软雅黑" w:eastAsia="微软雅黑" w:cs="微软雅黑"/>
          <w:b/>
          <w:sz w:val="24"/>
          <w:szCs w:val="24"/>
          <w:highlight w:val="none"/>
        </w:rPr>
        <w:t>第二节  需求一览表</w:t>
      </w:r>
      <w:bookmarkEnd w:id="2"/>
    </w:p>
    <w:tbl>
      <w:tblPr>
        <w:tblStyle w:val="4"/>
        <w:tblW w:w="92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2"/>
        <w:gridCol w:w="4138"/>
        <w:gridCol w:w="922"/>
        <w:gridCol w:w="1073"/>
        <w:gridCol w:w="1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2" w:type="dxa"/>
            <w:vAlign w:val="center"/>
          </w:tcPr>
          <w:p>
            <w:pPr>
              <w:jc w:val="center"/>
              <w:rPr>
                <w:b/>
                <w:highlight w:val="none"/>
              </w:rPr>
            </w:pPr>
            <w:r>
              <w:rPr>
                <w:b/>
                <w:highlight w:val="none"/>
              </w:rPr>
              <w:t>序号</w:t>
            </w:r>
          </w:p>
        </w:tc>
        <w:tc>
          <w:tcPr>
            <w:tcW w:w="4138" w:type="dxa"/>
            <w:vAlign w:val="center"/>
          </w:tcPr>
          <w:p>
            <w:pPr>
              <w:jc w:val="center"/>
              <w:rPr>
                <w:b/>
                <w:highlight w:val="none"/>
              </w:rPr>
            </w:pPr>
            <w:r>
              <w:rPr>
                <w:b/>
                <w:highlight w:val="none"/>
              </w:rPr>
              <w:t>服务名称</w:t>
            </w:r>
          </w:p>
        </w:tc>
        <w:tc>
          <w:tcPr>
            <w:tcW w:w="922" w:type="dxa"/>
            <w:vAlign w:val="center"/>
          </w:tcPr>
          <w:p>
            <w:pPr>
              <w:jc w:val="center"/>
              <w:rPr>
                <w:b/>
                <w:highlight w:val="none"/>
              </w:rPr>
            </w:pPr>
            <w:r>
              <w:rPr>
                <w:b/>
                <w:highlight w:val="none"/>
              </w:rPr>
              <w:t>数量</w:t>
            </w:r>
          </w:p>
        </w:tc>
        <w:tc>
          <w:tcPr>
            <w:tcW w:w="1073" w:type="dxa"/>
            <w:vAlign w:val="center"/>
          </w:tcPr>
          <w:p>
            <w:pPr>
              <w:jc w:val="center"/>
              <w:rPr>
                <w:b/>
                <w:highlight w:val="none"/>
              </w:rPr>
            </w:pPr>
            <w:r>
              <w:rPr>
                <w:b/>
                <w:highlight w:val="none"/>
              </w:rPr>
              <w:t>单位</w:t>
            </w:r>
          </w:p>
        </w:tc>
        <w:tc>
          <w:tcPr>
            <w:tcW w:w="1900" w:type="dxa"/>
            <w:vAlign w:val="center"/>
          </w:tcPr>
          <w:p>
            <w:pPr>
              <w:jc w:val="center"/>
              <w:rPr>
                <w:rFonts w:ascii="宋体" w:hAnsi="宋体"/>
                <w:b/>
                <w:highlight w:val="none"/>
              </w:rPr>
            </w:pPr>
            <w:r>
              <w:rPr>
                <w:rFonts w:hint="eastAsia"/>
                <w:b/>
                <w:szCs w:val="21"/>
                <w:highlight w:val="none"/>
              </w:rPr>
              <w:t>预算控制金额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2" w:type="dxa"/>
            <w:vAlign w:val="center"/>
          </w:tcPr>
          <w:p>
            <w:pPr>
              <w:jc w:val="center"/>
              <w:rPr>
                <w:rFonts w:ascii="宋体" w:hAnsi="宋体"/>
                <w:highlight w:val="none"/>
              </w:rPr>
            </w:pPr>
            <w:r>
              <w:rPr>
                <w:rFonts w:ascii="宋体" w:hAnsi="宋体"/>
                <w:highlight w:val="none"/>
              </w:rPr>
              <w:t>1</w:t>
            </w:r>
          </w:p>
        </w:tc>
        <w:tc>
          <w:tcPr>
            <w:tcW w:w="4138" w:type="dxa"/>
            <w:vAlign w:val="center"/>
          </w:tcPr>
          <w:p>
            <w:pPr>
              <w:jc w:val="center"/>
              <w:rPr>
                <w:rFonts w:ascii="宋体" w:hAnsi="宋体"/>
                <w:highlight w:val="none"/>
              </w:rPr>
            </w:pPr>
            <w:r>
              <w:rPr>
                <w:rFonts w:hint="eastAsia" w:asciiTheme="minorEastAsia" w:hAnsiTheme="minorEastAsia" w:eastAsiaTheme="minorEastAsia"/>
                <w:szCs w:val="21"/>
                <w:highlight w:val="none"/>
              </w:rPr>
              <w:t>特殊儿童康复教育示范性服务—组织开展全国爱耳日公益音乐会</w:t>
            </w:r>
          </w:p>
        </w:tc>
        <w:tc>
          <w:tcPr>
            <w:tcW w:w="922" w:type="dxa"/>
            <w:vAlign w:val="center"/>
          </w:tcPr>
          <w:p>
            <w:pPr>
              <w:jc w:val="center"/>
              <w:rPr>
                <w:rFonts w:ascii="宋体" w:hAnsi="宋体"/>
                <w:highlight w:val="none"/>
              </w:rPr>
            </w:pPr>
            <w:r>
              <w:rPr>
                <w:rFonts w:ascii="宋体" w:hAnsi="宋体"/>
                <w:highlight w:val="none"/>
              </w:rPr>
              <w:t>1</w:t>
            </w:r>
          </w:p>
        </w:tc>
        <w:tc>
          <w:tcPr>
            <w:tcW w:w="1073" w:type="dxa"/>
            <w:vAlign w:val="center"/>
          </w:tcPr>
          <w:p>
            <w:pPr>
              <w:jc w:val="center"/>
              <w:rPr>
                <w:rFonts w:ascii="宋体" w:hAnsi="宋体"/>
                <w:highlight w:val="none"/>
              </w:rPr>
            </w:pPr>
            <w:r>
              <w:rPr>
                <w:rFonts w:ascii="宋体" w:hAnsi="宋体"/>
                <w:highlight w:val="none"/>
              </w:rPr>
              <w:t>项</w:t>
            </w:r>
          </w:p>
        </w:tc>
        <w:tc>
          <w:tcPr>
            <w:tcW w:w="1900" w:type="dxa"/>
            <w:vAlign w:val="center"/>
          </w:tcPr>
          <w:p>
            <w:pPr>
              <w:jc w:val="center"/>
              <w:rPr>
                <w:rFonts w:ascii="宋体" w:hAnsi="宋体"/>
                <w:highlight w:val="none"/>
              </w:rPr>
            </w:pPr>
            <w:r>
              <w:rPr>
                <w:rFonts w:hint="eastAsia"/>
                <w:szCs w:val="21"/>
                <w:highlight w:val="none"/>
              </w:rPr>
              <w:t>48万元</w:t>
            </w:r>
          </w:p>
        </w:tc>
      </w:tr>
    </w:tbl>
    <w:p>
      <w:pPr>
        <w:spacing w:line="340" w:lineRule="exact"/>
        <w:ind w:firstLine="422" w:firstLineChars="200"/>
        <w:rPr>
          <w:rFonts w:ascii="宋体" w:hAnsi="宋体"/>
          <w:b/>
          <w:bCs/>
          <w:szCs w:val="21"/>
          <w:highlight w:val="none"/>
        </w:rPr>
      </w:pPr>
    </w:p>
    <w:p>
      <w:pPr>
        <w:numPr>
          <w:ilvl w:val="0"/>
          <w:numId w:val="1"/>
        </w:numPr>
        <w:jc w:val="center"/>
        <w:outlineLvl w:val="1"/>
        <w:rPr>
          <w:rFonts w:ascii="微软雅黑" w:hAnsi="微软雅黑" w:eastAsia="微软雅黑" w:cs="微软雅黑"/>
          <w:b/>
          <w:sz w:val="24"/>
          <w:szCs w:val="24"/>
          <w:highlight w:val="none"/>
        </w:rPr>
      </w:pPr>
      <w:bookmarkStart w:id="3" w:name="_Toc5820"/>
      <w:r>
        <w:rPr>
          <w:rFonts w:hint="eastAsia" w:ascii="微软雅黑" w:hAnsi="微软雅黑" w:eastAsia="微软雅黑" w:cs="微软雅黑"/>
          <w:b/>
          <w:sz w:val="24"/>
          <w:szCs w:val="24"/>
          <w:highlight w:val="none"/>
        </w:rPr>
        <w:t xml:space="preserve"> 技术需求明细</w:t>
      </w:r>
      <w:bookmarkEnd w:id="3"/>
    </w:p>
    <w:p>
      <w:pPr>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一、项目概述</w:t>
      </w:r>
    </w:p>
    <w:p>
      <w:pPr>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2024年3月3日是第25次全国“爱耳日”，“爱耳日”宣传教育活动历经24年，对宣传普及爱耳护耳知识起到积极作用，受到社会的热烈欢迎和积极参与，也得到社会各界的密切关注和大力支持，从而促进了我国听力残疾预防与康复工作，推动了“十四五”听力残疾预防与康复事业高质量发展，同时也为设立“世界听力日”，促进全球听力障碍预防与康复事业做出了积极贡献。</w:t>
      </w:r>
    </w:p>
    <w:p>
      <w:pPr>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2024年3月3日组织开展第二十五次全国爱耳日公益音乐会。通过举办高质量公益音乐会的形式开展“爱耳日”宣传教育，进一步贯彻落实好党中央、国务院关于实施健康中国战略的重大决策部署和《残疾预防和残疾人康复条例》、《国家残疾预防行动计划（2021-2025年）》相关要求，普及全民听力健康科学知识，增强全社会听力残疾预防意识和预防能力，有效减少、控制听力残疾的发生。</w:t>
      </w:r>
    </w:p>
    <w:p>
      <w:pPr>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二、项目技术服务要求</w:t>
      </w:r>
    </w:p>
    <w:p>
      <w:pPr>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（一）服务清单：</w:t>
      </w:r>
    </w:p>
    <w:p>
      <w:pPr>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服务项目名称及数量：全国爱耳日公益音乐会及配套服务1项。</w:t>
      </w:r>
    </w:p>
    <w:p>
      <w:pPr>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（二）具体服务要求：</w:t>
      </w:r>
    </w:p>
    <w:p>
      <w:pPr>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围绕第二十五次全国爱耳日公益音乐会，配合做好方案策划、宣传发动、组织实施、场地费及布置、嘉宾邀请、配套服务等工作，具体要求如下：</w:t>
      </w:r>
    </w:p>
    <w:p>
      <w:pPr>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1、项目方案策划：策划第二十五次全国爱耳日公益音乐会活动实施方案（含组织机构介绍、音乐会曲目策划、</w:t>
      </w:r>
      <w:r>
        <w:rPr>
          <w:rFonts w:hint="eastAsia" w:asciiTheme="minorEastAsia" w:hAnsiTheme="minorEastAsia" w:eastAsiaTheme="minorEastAsia"/>
          <w:szCs w:val="21"/>
          <w:highlight w:val="none"/>
          <w:lang w:val="en-US" w:eastAsia="zh-CN"/>
        </w:rPr>
        <w:t>交流茶歇策划</w:t>
      </w:r>
      <w:r>
        <w:rPr>
          <w:rFonts w:hint="eastAsia" w:asciiTheme="minorEastAsia" w:hAnsiTheme="minorEastAsia" w:eastAsiaTheme="minorEastAsia"/>
          <w:szCs w:val="21"/>
          <w:highlight w:val="none"/>
        </w:rPr>
        <w:t>、现场布置方案、活动预算方案等）</w:t>
      </w:r>
    </w:p>
    <w:p>
      <w:pPr>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2、项目宣传发动：开展公益音乐会宣传发动工作，设计制作活动宣传海报（电子版）；在公益音乐会各阶段开展宣传推广工作，发布音乐会相关报道不少于3篇。</w:t>
      </w:r>
    </w:p>
    <w:p>
      <w:pPr>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3、项目组织实施：</w:t>
      </w:r>
    </w:p>
    <w:p>
      <w:pPr>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（1）组织举办第二十五次全国爱耳日公益音乐会1场，邀请不少于50名政界、商界、慈善界等嘉宾参与；</w:t>
      </w:r>
    </w:p>
    <w:p>
      <w:pPr>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（2）公益音乐会需由政府直属的职业交响乐团进行演出；</w:t>
      </w:r>
    </w:p>
    <w:p>
      <w:pPr>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（3）公益音乐会的场地安排、设备、演出设计印刷、舞台背景、签到墙及指示牌、节目单、场务保障等须符合公益音乐会项目要求；</w:t>
      </w:r>
    </w:p>
    <w:p>
      <w:pPr>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（4）公益音乐会场地拟安排在深圳书城（中心城店）、云颂公益音乐厅、深圳音乐厅、</w:t>
      </w:r>
      <w:r>
        <w:rPr>
          <w:rFonts w:hint="eastAsia" w:asciiTheme="minorEastAsia" w:hAnsiTheme="minorEastAsia" w:eastAsiaTheme="minorEastAsia"/>
          <w:szCs w:val="21"/>
          <w:highlight w:val="none"/>
          <w:lang w:eastAsia="zh-CN"/>
        </w:rPr>
        <w:t>广电演播大厅</w:t>
      </w:r>
      <w:r>
        <w:rPr>
          <w:rFonts w:hint="eastAsia" w:asciiTheme="minorEastAsia" w:hAnsiTheme="minorEastAsia" w:eastAsiaTheme="minorEastAsia"/>
          <w:szCs w:val="21"/>
          <w:highlight w:val="none"/>
        </w:rPr>
        <w:t>等大型公共场所；</w:t>
      </w:r>
      <w:r>
        <w:rPr>
          <w:rFonts w:hint="eastAsia" w:asciiTheme="minorEastAsia" w:hAnsiTheme="minorEastAsia" w:eastAsiaTheme="minorEastAsia"/>
          <w:szCs w:val="21"/>
          <w:highlight w:val="none"/>
          <w:lang w:val="en-US" w:eastAsia="zh-CN"/>
        </w:rPr>
        <w:t>交流茶歇及授荣表彰仪式场景布置符合高雅艺术和慈善交流主题风格</w:t>
      </w:r>
      <w:r>
        <w:rPr>
          <w:rFonts w:hint="eastAsia" w:asciiTheme="minorEastAsia" w:hAnsiTheme="minorEastAsia" w:eastAsiaTheme="minorEastAsia"/>
          <w:szCs w:val="21"/>
          <w:highlight w:val="none"/>
        </w:rPr>
        <w:t>。</w:t>
      </w:r>
      <w:r>
        <w:rPr>
          <w:rFonts w:hint="eastAsia" w:asciiTheme="minorEastAsia" w:hAnsiTheme="minorEastAsia" w:eastAsiaTheme="minorEastAsia"/>
          <w:szCs w:val="21"/>
          <w:highlight w:val="none"/>
          <w:lang w:val="en-US" w:eastAsia="zh-CN"/>
        </w:rPr>
        <w:t>交流</w:t>
      </w:r>
      <w:r>
        <w:rPr>
          <w:rFonts w:hint="eastAsia" w:asciiTheme="minorEastAsia" w:hAnsiTheme="minorEastAsia" w:eastAsiaTheme="minorEastAsia"/>
          <w:szCs w:val="21"/>
          <w:highlight w:val="none"/>
        </w:rPr>
        <w:t>茶歇提供的茶饮和点心均来自品牌方高品质产品，需提供品牌产品资质证明。</w:t>
      </w:r>
    </w:p>
    <w:p>
      <w:pPr>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4、项目重要嘉宾邀请:</w:t>
      </w:r>
    </w:p>
    <w:p>
      <w:pPr>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公益音乐会需邀请不少于5名知名慈善家参与，知名慈善家标准：累计公益捐赠超过100万元（含100万元），或在资产超过2000万（含2000万元）的慈善组织担任副理事长以上职务；需邀请不少于5名相关政府部门嘉宾参与，包括市残疾人联合会、市社会组织管理局、市文化广电旅游体育局等相关政府部门嘉宾。</w:t>
      </w:r>
    </w:p>
    <w:p>
      <w:pPr>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5、配套服务：</w:t>
      </w:r>
    </w:p>
    <w:p>
      <w:pPr>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（1）为进行公益音乐会演出的职业交响乐团提供后勤保障、乐器运输等音乐会配套服务；</w:t>
      </w:r>
    </w:p>
    <w:p>
      <w:pPr>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（2）在公益音乐会的不同阶段进行视频、照片的拍摄并制作活动视频集锦不少于1份。</w:t>
      </w:r>
    </w:p>
    <w:p>
      <w:pPr>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6、项目总结：开展总结工作，简历项目档案包括项目实施方案、项目照片资料、视频集锦与总结资料等；项目档案电子档需与项目纸质档案一致；项目档案应于项目结束10个工作日内提交至采购人。</w:t>
      </w:r>
    </w:p>
    <w:p>
      <w:pPr>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7、人员要求：</w:t>
      </w:r>
    </w:p>
    <w:p>
      <w:pPr>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（1）项目负责人须具有与政府所属的职业交响乐团联合开展公益音乐会的活动组织和策划相关从业经验；</w:t>
      </w:r>
    </w:p>
    <w:p>
      <w:pPr>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（2）项目应成立专家指导团队，成员不少于6人，需包含职业交响乐团专家和慈善管理专家；</w:t>
      </w:r>
    </w:p>
    <w:p>
      <w:pPr>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（3）项目应成立项目实施团队，成员不少于2人，需包含具有与政府所属的职业交响乐团联合开展公益活动组织和策划相关从业经验的工作人员；</w:t>
      </w:r>
    </w:p>
    <w:p>
      <w:pPr>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（4）项目应配备与开展工作相适应的工作团队及活动组织、宣传策划；</w:t>
      </w:r>
    </w:p>
    <w:p>
      <w:pPr>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（5）投标方应确保投标文件的人员信息真实、有效。</w:t>
      </w:r>
    </w:p>
    <w:p>
      <w:pPr>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8、其他要求：</w:t>
      </w:r>
    </w:p>
    <w:p>
      <w:pPr>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（1）完成采购人交办的爱耳日公益音乐会相关工作。</w:t>
      </w:r>
    </w:p>
    <w:p>
      <w:pPr>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（2）服务过程必须遵守《中华人民共和国民法典》、《中华人民共和国慈善法》等有关国家法律法规。</w:t>
      </w:r>
    </w:p>
    <w:p>
      <w:pPr>
        <w:spacing w:line="340" w:lineRule="exact"/>
        <w:ind w:firstLine="472" w:firstLineChars="225"/>
        <w:rPr>
          <w:rFonts w:ascii="宋体" w:hAnsi="宋体"/>
          <w:szCs w:val="21"/>
          <w:highlight w:val="none"/>
        </w:rPr>
      </w:pPr>
    </w:p>
    <w:p>
      <w:pPr>
        <w:jc w:val="center"/>
        <w:outlineLvl w:val="1"/>
        <w:rPr>
          <w:rFonts w:ascii="微软雅黑" w:hAnsi="微软雅黑" w:eastAsia="微软雅黑" w:cs="微软雅黑"/>
          <w:b/>
          <w:sz w:val="24"/>
          <w:szCs w:val="24"/>
          <w:highlight w:val="none"/>
        </w:rPr>
      </w:pPr>
      <w:bookmarkStart w:id="4" w:name="_Toc9861"/>
      <w:r>
        <w:rPr>
          <w:rFonts w:hint="eastAsia" w:ascii="微软雅黑" w:hAnsi="微软雅黑" w:eastAsia="微软雅黑" w:cs="微软雅黑"/>
          <w:b/>
          <w:sz w:val="24"/>
          <w:szCs w:val="24"/>
          <w:highlight w:val="none"/>
        </w:rPr>
        <w:t>第四节  商务需求明细</w:t>
      </w:r>
      <w:bookmarkEnd w:id="4"/>
    </w:p>
    <w:p>
      <w:pPr>
        <w:spacing w:line="440" w:lineRule="exact"/>
        <w:rPr>
          <w:rFonts w:asciiTheme="minorEastAsia" w:hAnsiTheme="minorEastAsia" w:eastAsiaTheme="minorEastAsia"/>
          <w:szCs w:val="21"/>
          <w:highlight w:val="none"/>
        </w:rPr>
      </w:pPr>
      <w:r>
        <w:rPr>
          <w:rFonts w:hint="eastAsia" w:ascii="宋体" w:hAnsi="宋体"/>
          <w:b/>
          <w:szCs w:val="21"/>
          <w:highlight w:val="none"/>
        </w:rPr>
        <w:t>一、服务期限：</w:t>
      </w:r>
      <w:r>
        <w:rPr>
          <w:rFonts w:hint="eastAsia" w:asciiTheme="minorEastAsia" w:hAnsiTheme="minorEastAsia" w:eastAsiaTheme="minorEastAsia"/>
          <w:szCs w:val="21"/>
          <w:highlight w:val="none"/>
        </w:rPr>
        <w:t>自服务协议签订之日起至 2024年4月30日。</w:t>
      </w:r>
    </w:p>
    <w:p>
      <w:pPr>
        <w:spacing w:line="440" w:lineRule="exact"/>
        <w:rPr>
          <w:rFonts w:asciiTheme="minorEastAsia" w:hAnsiTheme="minorEastAsia" w:eastAsiaTheme="minorEastAsia"/>
          <w:szCs w:val="21"/>
          <w:highlight w:val="none"/>
        </w:rPr>
      </w:pPr>
      <w:r>
        <w:rPr>
          <w:rFonts w:hint="eastAsia" w:ascii="宋体" w:hAnsi="宋体"/>
          <w:b/>
          <w:szCs w:val="21"/>
          <w:highlight w:val="none"/>
        </w:rPr>
        <w:t>二、付款条件：</w:t>
      </w:r>
      <w:r>
        <w:rPr>
          <w:rFonts w:hint="eastAsia" w:asciiTheme="minorEastAsia" w:hAnsiTheme="minorEastAsia" w:eastAsiaTheme="minorEastAsia"/>
          <w:szCs w:val="21"/>
          <w:highlight w:val="none"/>
        </w:rPr>
        <w:t>双方签订协议后且在中标人提供税务发票后，采购人向中标人支付首款（合同价款的70%）；项目结束后，采购人根据项目验收完成情况，按合同规定支付尾款（合同价款的30%）。</w:t>
      </w:r>
    </w:p>
    <w:p>
      <w:pPr>
        <w:spacing w:line="440" w:lineRule="exact"/>
        <w:rPr>
          <w:rFonts w:ascii="宋体" w:hAnsi="宋体"/>
          <w:b/>
          <w:szCs w:val="21"/>
          <w:highlight w:val="none"/>
        </w:rPr>
      </w:pPr>
    </w:p>
    <w:p>
      <w:pPr>
        <w:jc w:val="center"/>
        <w:outlineLvl w:val="1"/>
        <w:rPr>
          <w:rFonts w:ascii="微软雅黑" w:hAnsi="微软雅黑" w:eastAsia="微软雅黑" w:cs="微软雅黑"/>
          <w:b/>
          <w:bCs/>
          <w:caps/>
          <w:sz w:val="24"/>
          <w:szCs w:val="24"/>
          <w:highlight w:val="none"/>
        </w:rPr>
      </w:pPr>
      <w:bookmarkStart w:id="5" w:name="_Toc353262376"/>
      <w:bookmarkStart w:id="6" w:name="_Toc15840"/>
      <w:bookmarkStart w:id="7" w:name="_Toc333420706"/>
      <w:r>
        <w:rPr>
          <w:rFonts w:hint="eastAsia" w:ascii="微软雅黑" w:hAnsi="微软雅黑" w:eastAsia="微软雅黑" w:cs="微软雅黑"/>
          <w:b/>
          <w:bCs/>
          <w:caps/>
          <w:sz w:val="24"/>
          <w:szCs w:val="24"/>
          <w:highlight w:val="none"/>
        </w:rPr>
        <w:t>第五节  投标</w:t>
      </w:r>
      <w:r>
        <w:rPr>
          <w:rFonts w:hint="eastAsia" w:ascii="微软雅黑" w:hAnsi="微软雅黑" w:eastAsia="微软雅黑" w:cs="微软雅黑"/>
          <w:b/>
          <w:bCs/>
          <w:sz w:val="24"/>
          <w:szCs w:val="24"/>
          <w:highlight w:val="none"/>
        </w:rPr>
        <w:t>文件</w:t>
      </w:r>
      <w:r>
        <w:rPr>
          <w:rFonts w:hint="eastAsia" w:ascii="微软雅黑" w:hAnsi="微软雅黑" w:eastAsia="微软雅黑" w:cs="微软雅黑"/>
          <w:b/>
          <w:bCs/>
          <w:caps/>
          <w:sz w:val="24"/>
          <w:szCs w:val="24"/>
          <w:highlight w:val="none"/>
        </w:rPr>
        <w:t>否决性条款摘要</w:t>
      </w:r>
      <w:bookmarkEnd w:id="5"/>
      <w:bookmarkEnd w:id="6"/>
      <w:bookmarkEnd w:id="7"/>
    </w:p>
    <w:p>
      <w:pPr>
        <w:spacing w:line="440" w:lineRule="exact"/>
        <w:ind w:firstLine="422" w:firstLineChars="200"/>
        <w:rPr>
          <w:rFonts w:ascii="宋体" w:hAnsi="宋体"/>
          <w:b/>
          <w:szCs w:val="21"/>
          <w:highlight w:val="none"/>
        </w:rPr>
      </w:pPr>
      <w:r>
        <w:rPr>
          <w:rFonts w:ascii="宋体" w:hAnsi="宋体"/>
          <w:b/>
          <w:highlight w:val="none"/>
        </w:rPr>
        <w:t>1、</w:t>
      </w:r>
      <w:r>
        <w:rPr>
          <w:rFonts w:ascii="宋体" w:hAnsi="宋体"/>
          <w:b/>
          <w:szCs w:val="21"/>
          <w:highlight w:val="none"/>
        </w:rPr>
        <w:t>投标文件有下列情形之一的，不予受理：</w:t>
      </w:r>
    </w:p>
    <w:p>
      <w:pPr>
        <w:spacing w:line="440" w:lineRule="exact"/>
        <w:ind w:firstLine="420" w:firstLineChars="200"/>
        <w:rPr>
          <w:rFonts w:ascii="宋体" w:hAnsi="宋体"/>
          <w:szCs w:val="21"/>
          <w:highlight w:val="none"/>
        </w:rPr>
      </w:pPr>
      <w:r>
        <w:rPr>
          <w:rFonts w:ascii="宋体" w:hAnsi="宋体"/>
          <w:highlight w:val="none"/>
        </w:rPr>
        <w:t xml:space="preserve">1.1  </w:t>
      </w:r>
      <w:r>
        <w:rPr>
          <w:rFonts w:ascii="宋体" w:hAnsi="宋体"/>
          <w:szCs w:val="21"/>
          <w:highlight w:val="none"/>
        </w:rPr>
        <w:t>在投标截止时间以后送达的，或者未送达指定地点的；</w:t>
      </w:r>
    </w:p>
    <w:p>
      <w:pPr>
        <w:spacing w:line="440" w:lineRule="exact"/>
        <w:ind w:firstLine="420" w:firstLineChars="200"/>
        <w:rPr>
          <w:rFonts w:ascii="宋体" w:hAnsi="宋体"/>
          <w:highlight w:val="none"/>
        </w:rPr>
      </w:pPr>
      <w:r>
        <w:rPr>
          <w:rFonts w:ascii="宋体" w:hAnsi="宋体"/>
          <w:highlight w:val="none"/>
        </w:rPr>
        <w:t xml:space="preserve">1.2  </w:t>
      </w:r>
      <w:r>
        <w:rPr>
          <w:rFonts w:hint="eastAsia" w:ascii="宋体" w:hAnsi="宋体"/>
          <w:highlight w:val="none"/>
        </w:rPr>
        <w:t>投标文件未密封的；</w:t>
      </w:r>
    </w:p>
    <w:p>
      <w:pPr>
        <w:spacing w:line="440" w:lineRule="exact"/>
        <w:ind w:firstLine="420" w:firstLineChars="200"/>
        <w:rPr>
          <w:rFonts w:ascii="宋体" w:hAnsi="宋体"/>
          <w:b/>
          <w:szCs w:val="21"/>
          <w:highlight w:val="none"/>
        </w:rPr>
      </w:pPr>
      <w:r>
        <w:rPr>
          <w:rFonts w:hint="eastAsia" w:ascii="宋体" w:hAnsi="宋体"/>
          <w:highlight w:val="none"/>
        </w:rPr>
        <w:t xml:space="preserve">1.3  </w:t>
      </w:r>
      <w:r>
        <w:rPr>
          <w:rFonts w:ascii="宋体" w:hAnsi="宋体"/>
          <w:szCs w:val="21"/>
          <w:highlight w:val="none"/>
        </w:rPr>
        <w:t>投标人的名称与</w:t>
      </w:r>
      <w:bookmarkStart w:id="8" w:name="_Toc76871384"/>
      <w:r>
        <w:rPr>
          <w:rFonts w:ascii="宋体" w:hAnsi="宋体"/>
          <w:szCs w:val="21"/>
          <w:highlight w:val="none"/>
        </w:rPr>
        <w:t>购买招标文件时登记</w:t>
      </w:r>
      <w:bookmarkEnd w:id="8"/>
      <w:r>
        <w:rPr>
          <w:rFonts w:ascii="宋体" w:hAnsi="宋体"/>
          <w:szCs w:val="21"/>
          <w:highlight w:val="none"/>
        </w:rPr>
        <w:t>的不一致的。</w:t>
      </w:r>
    </w:p>
    <w:p>
      <w:pPr>
        <w:spacing w:line="440" w:lineRule="exact"/>
        <w:ind w:firstLine="422" w:firstLineChars="200"/>
        <w:rPr>
          <w:rFonts w:ascii="宋体" w:hAnsi="宋体"/>
          <w:b/>
          <w:szCs w:val="21"/>
          <w:highlight w:val="none"/>
        </w:rPr>
      </w:pPr>
      <w:r>
        <w:rPr>
          <w:rFonts w:ascii="宋体" w:hAnsi="宋体"/>
          <w:b/>
          <w:highlight w:val="none"/>
        </w:rPr>
        <w:t>2</w:t>
      </w:r>
      <w:r>
        <w:rPr>
          <w:rFonts w:hint="eastAsia" w:ascii="宋体" w:hAnsi="宋体"/>
          <w:b/>
          <w:highlight w:val="none"/>
        </w:rPr>
        <w:t>、</w:t>
      </w:r>
      <w:r>
        <w:rPr>
          <w:rFonts w:ascii="宋体" w:hAnsi="宋体"/>
          <w:b/>
          <w:szCs w:val="21"/>
          <w:highlight w:val="none"/>
        </w:rPr>
        <w:t>投标文件有下列</w:t>
      </w:r>
      <w:r>
        <w:rPr>
          <w:rFonts w:hint="eastAsia" w:ascii="宋体" w:hAnsi="宋体"/>
          <w:b/>
          <w:szCs w:val="21"/>
          <w:highlight w:val="none"/>
        </w:rPr>
        <w:t>情形之一的，按无效标处理：</w:t>
      </w:r>
    </w:p>
    <w:p>
      <w:pPr>
        <w:spacing w:line="440" w:lineRule="exact"/>
        <w:ind w:firstLine="420" w:firstLineChars="200"/>
        <w:rPr>
          <w:rFonts w:ascii="宋体" w:hAnsi="宋体"/>
          <w:szCs w:val="21"/>
          <w:highlight w:val="none"/>
        </w:rPr>
      </w:pPr>
      <w:r>
        <w:rPr>
          <w:rFonts w:hint="eastAsia" w:ascii="宋体" w:hAnsi="宋体"/>
          <w:highlight w:val="none"/>
        </w:rPr>
        <w:t xml:space="preserve">2.1  </w:t>
      </w:r>
      <w:r>
        <w:rPr>
          <w:rFonts w:hint="eastAsia" w:ascii="宋体" w:hAnsi="宋体"/>
          <w:szCs w:val="21"/>
          <w:highlight w:val="none"/>
        </w:rPr>
        <w:t>投标人未按照招标文件的要求提供投标保证金的；</w:t>
      </w:r>
      <w:r>
        <w:rPr>
          <w:rFonts w:ascii="宋体" w:hAnsi="宋体"/>
          <w:szCs w:val="21"/>
          <w:highlight w:val="none"/>
        </w:rPr>
        <w:t xml:space="preserve"> </w:t>
      </w:r>
    </w:p>
    <w:p>
      <w:pPr>
        <w:spacing w:line="440" w:lineRule="exact"/>
        <w:ind w:firstLine="420" w:firstLineChars="200"/>
        <w:rPr>
          <w:rFonts w:ascii="宋体" w:hAnsi="宋体"/>
          <w:szCs w:val="21"/>
          <w:highlight w:val="none"/>
        </w:rPr>
      </w:pPr>
      <w:r>
        <w:rPr>
          <w:rFonts w:hint="eastAsia" w:ascii="宋体" w:hAnsi="宋体"/>
          <w:szCs w:val="21"/>
          <w:highlight w:val="none"/>
        </w:rPr>
        <w:t>2.2  投标文件无法定代表人签字或盖章，或签字人无法定代表人有效授权委托书原件的；</w:t>
      </w:r>
    </w:p>
    <w:p>
      <w:pPr>
        <w:spacing w:line="440" w:lineRule="exact"/>
        <w:ind w:firstLine="420" w:firstLineChars="200"/>
        <w:rPr>
          <w:rFonts w:ascii="宋体" w:hAnsi="宋体"/>
          <w:szCs w:val="21"/>
          <w:highlight w:val="none"/>
        </w:rPr>
      </w:pPr>
      <w:r>
        <w:rPr>
          <w:rFonts w:hint="eastAsia" w:ascii="宋体" w:hAnsi="宋体"/>
          <w:szCs w:val="21"/>
          <w:highlight w:val="none"/>
        </w:rPr>
        <w:t>2.3  投标人资格条件不符合国家有关规定和招标文件要求；</w:t>
      </w:r>
    </w:p>
    <w:p>
      <w:pPr>
        <w:spacing w:line="440" w:lineRule="exact"/>
        <w:ind w:firstLine="420" w:firstLineChars="200"/>
        <w:rPr>
          <w:rFonts w:ascii="宋体" w:hAnsi="宋体"/>
          <w:szCs w:val="21"/>
          <w:highlight w:val="none"/>
        </w:rPr>
      </w:pPr>
      <w:r>
        <w:rPr>
          <w:rFonts w:hint="eastAsia" w:ascii="宋体" w:hAnsi="宋体"/>
          <w:szCs w:val="21"/>
          <w:highlight w:val="none"/>
        </w:rPr>
        <w:t>2.4  投标总价或分项报价超过预算控制金额的；</w:t>
      </w:r>
      <w:r>
        <w:rPr>
          <w:rFonts w:ascii="宋体" w:hAnsi="宋体"/>
          <w:szCs w:val="21"/>
          <w:highlight w:val="none"/>
        </w:rPr>
        <w:t xml:space="preserve"> </w:t>
      </w:r>
    </w:p>
    <w:p>
      <w:pPr>
        <w:spacing w:line="440" w:lineRule="exact"/>
        <w:ind w:firstLine="420" w:firstLineChars="200"/>
        <w:rPr>
          <w:rFonts w:ascii="宋体" w:hAnsi="宋体"/>
          <w:szCs w:val="21"/>
          <w:highlight w:val="none"/>
        </w:rPr>
      </w:pPr>
      <w:r>
        <w:rPr>
          <w:rFonts w:hint="eastAsia" w:ascii="宋体" w:hAnsi="宋体"/>
          <w:szCs w:val="21"/>
          <w:highlight w:val="none"/>
        </w:rPr>
        <w:t>2.5  开标一览表出现无报价或报价为零或有选择性报价的；</w:t>
      </w:r>
    </w:p>
    <w:p>
      <w:pPr>
        <w:spacing w:line="440" w:lineRule="exact"/>
        <w:ind w:firstLine="420" w:firstLineChars="200"/>
        <w:rPr>
          <w:rFonts w:ascii="宋体" w:hAnsi="宋体"/>
          <w:szCs w:val="21"/>
          <w:highlight w:val="none"/>
        </w:rPr>
      </w:pPr>
      <w:r>
        <w:rPr>
          <w:rFonts w:hint="eastAsia" w:ascii="宋体" w:hAnsi="宋体"/>
          <w:szCs w:val="21"/>
          <w:highlight w:val="none"/>
        </w:rPr>
        <w:t xml:space="preserve">2.6  </w:t>
      </w:r>
      <w:r>
        <w:rPr>
          <w:rFonts w:hint="eastAsia" w:ascii="宋体" w:hAnsi="宋体"/>
          <w:spacing w:val="-2"/>
          <w:szCs w:val="21"/>
          <w:highlight w:val="none"/>
        </w:rPr>
        <w:t>投标人以他人的名义投标、串通投标、以行贿手段谋取中标或者以其他弄虚作假方式投标；</w:t>
      </w:r>
    </w:p>
    <w:p>
      <w:pPr>
        <w:spacing w:line="440" w:lineRule="exact"/>
        <w:ind w:firstLine="420" w:firstLineChars="200"/>
        <w:rPr>
          <w:rFonts w:ascii="宋体" w:hAnsi="宋体"/>
          <w:szCs w:val="21"/>
          <w:highlight w:val="none"/>
        </w:rPr>
      </w:pPr>
      <w:r>
        <w:rPr>
          <w:rFonts w:hint="eastAsia" w:ascii="宋体" w:hAnsi="宋体"/>
          <w:szCs w:val="21"/>
          <w:highlight w:val="none"/>
        </w:rPr>
        <w:t xml:space="preserve">2.7  </w:t>
      </w:r>
      <w:r>
        <w:rPr>
          <w:rFonts w:hint="eastAsia" w:ascii="宋体" w:hAnsi="宋体"/>
          <w:spacing w:val="-2"/>
          <w:szCs w:val="21"/>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Pr>
          <w:rFonts w:hint="eastAsia" w:ascii="宋体" w:hAnsi="宋体"/>
          <w:szCs w:val="21"/>
          <w:highlight w:val="none"/>
        </w:rPr>
        <w:t>；</w:t>
      </w:r>
    </w:p>
    <w:p>
      <w:pPr>
        <w:spacing w:line="440" w:lineRule="exact"/>
        <w:ind w:firstLine="420" w:firstLineChars="200"/>
        <w:rPr>
          <w:rFonts w:ascii="宋体" w:hAnsi="宋体"/>
          <w:szCs w:val="21"/>
          <w:highlight w:val="none"/>
        </w:rPr>
      </w:pPr>
      <w:r>
        <w:rPr>
          <w:rFonts w:hint="eastAsia" w:ascii="宋体" w:hAnsi="宋体"/>
          <w:szCs w:val="21"/>
          <w:highlight w:val="none"/>
        </w:rPr>
        <w:t>2.8  投标人拒不按照要求对投标文件进行澄清、说明或者补正的；</w:t>
      </w:r>
    </w:p>
    <w:p>
      <w:pPr>
        <w:spacing w:line="440" w:lineRule="exact"/>
        <w:ind w:firstLine="420" w:firstLineChars="200"/>
        <w:rPr>
          <w:rFonts w:ascii="宋体" w:hAnsi="宋体"/>
          <w:szCs w:val="21"/>
          <w:highlight w:val="none"/>
        </w:rPr>
      </w:pPr>
      <w:r>
        <w:rPr>
          <w:rFonts w:hint="eastAsia" w:ascii="宋体" w:hAnsi="宋体"/>
          <w:szCs w:val="21"/>
          <w:highlight w:val="none"/>
        </w:rPr>
        <w:t>2.9  文件的关键内容字迹模糊、无法辨认的；</w:t>
      </w:r>
    </w:p>
    <w:p>
      <w:pPr>
        <w:spacing w:line="440" w:lineRule="exact"/>
        <w:ind w:firstLine="420" w:firstLineChars="200"/>
        <w:rPr>
          <w:rFonts w:ascii="宋体" w:hAnsi="宋体"/>
          <w:szCs w:val="21"/>
          <w:highlight w:val="none"/>
        </w:rPr>
      </w:pPr>
      <w:r>
        <w:rPr>
          <w:rFonts w:hint="eastAsia" w:ascii="宋体" w:hAnsi="宋体"/>
          <w:szCs w:val="21"/>
          <w:highlight w:val="none"/>
        </w:rPr>
        <w:t>2.10  投标函未按规定填写的；</w:t>
      </w:r>
    </w:p>
    <w:p>
      <w:pPr>
        <w:spacing w:line="440" w:lineRule="exact"/>
        <w:ind w:firstLine="420" w:firstLineChars="200"/>
        <w:rPr>
          <w:rFonts w:ascii="宋体" w:hAnsi="宋体"/>
          <w:szCs w:val="21"/>
          <w:highlight w:val="none"/>
        </w:rPr>
      </w:pPr>
      <w:r>
        <w:rPr>
          <w:rFonts w:hint="eastAsia" w:ascii="宋体" w:hAnsi="宋体"/>
          <w:szCs w:val="21"/>
          <w:highlight w:val="none"/>
        </w:rPr>
        <w:t>2.11  投标有效期不足的；</w:t>
      </w:r>
    </w:p>
    <w:p>
      <w:pPr>
        <w:spacing w:line="440" w:lineRule="exact"/>
        <w:ind w:firstLine="420" w:firstLineChars="200"/>
        <w:rPr>
          <w:rFonts w:ascii="宋体" w:hAnsi="宋体"/>
          <w:szCs w:val="21"/>
          <w:highlight w:val="none"/>
        </w:rPr>
      </w:pPr>
      <w:r>
        <w:rPr>
          <w:rFonts w:hint="eastAsia" w:ascii="宋体" w:hAnsi="宋体"/>
          <w:szCs w:val="21"/>
          <w:highlight w:val="none"/>
        </w:rPr>
        <w:t xml:space="preserve">2.12  </w:t>
      </w:r>
      <w:r>
        <w:rPr>
          <w:rFonts w:hint="eastAsia" w:ascii="宋体" w:hAnsi="宋体"/>
          <w:spacing w:val="-6"/>
          <w:szCs w:val="21"/>
          <w:highlight w:val="none"/>
        </w:rPr>
        <w:t>投标人的投标未能在实质上响应招标文件提出的所有实质性要求和条件（不可偏离条款）的；</w:t>
      </w:r>
    </w:p>
    <w:p>
      <w:pPr>
        <w:spacing w:line="440" w:lineRule="exact"/>
        <w:ind w:firstLine="420" w:firstLineChars="200"/>
        <w:rPr>
          <w:rFonts w:ascii="宋体" w:hAnsi="宋体"/>
          <w:szCs w:val="21"/>
          <w:highlight w:val="none"/>
        </w:rPr>
      </w:pPr>
      <w:r>
        <w:rPr>
          <w:rFonts w:hint="eastAsia" w:ascii="宋体" w:hAnsi="宋体"/>
          <w:szCs w:val="21"/>
          <w:highlight w:val="none"/>
        </w:rPr>
        <w:t xml:space="preserve">2.13  </w:t>
      </w:r>
      <w:r>
        <w:rPr>
          <w:rFonts w:ascii="宋体" w:hAnsi="宋体"/>
          <w:szCs w:val="21"/>
          <w:highlight w:val="none"/>
        </w:rPr>
        <w:t>投标报价有严重缺漏项目的</w:t>
      </w:r>
      <w:r>
        <w:rPr>
          <w:rFonts w:hint="eastAsia" w:ascii="宋体" w:hAnsi="宋体"/>
          <w:szCs w:val="21"/>
          <w:highlight w:val="none"/>
        </w:rPr>
        <w:t>；</w:t>
      </w:r>
    </w:p>
    <w:p>
      <w:pPr>
        <w:spacing w:line="440" w:lineRule="exact"/>
        <w:ind w:firstLine="420" w:firstLineChars="200"/>
        <w:rPr>
          <w:rFonts w:ascii="宋体" w:hAnsi="宋体"/>
          <w:szCs w:val="21"/>
          <w:highlight w:val="none"/>
        </w:rPr>
      </w:pPr>
      <w:r>
        <w:rPr>
          <w:rFonts w:hint="eastAsia" w:ascii="宋体" w:hAnsi="宋体"/>
          <w:szCs w:val="21"/>
          <w:highlight w:val="none"/>
        </w:rPr>
        <w:t>2.14  联合体投标未附联合体各方共同投标协议的；联合体成员</w:t>
      </w:r>
      <w:r>
        <w:rPr>
          <w:rFonts w:ascii="宋体" w:hAnsi="宋体"/>
          <w:szCs w:val="21"/>
          <w:highlight w:val="none"/>
        </w:rPr>
        <w:t>再以自己名义单独投标，</w:t>
      </w:r>
      <w:r>
        <w:rPr>
          <w:rFonts w:hint="eastAsia" w:ascii="宋体" w:hAnsi="宋体"/>
          <w:szCs w:val="21"/>
          <w:highlight w:val="none"/>
        </w:rPr>
        <w:t>及</w:t>
      </w:r>
      <w:r>
        <w:rPr>
          <w:rFonts w:ascii="宋体" w:hAnsi="宋体"/>
          <w:szCs w:val="21"/>
          <w:highlight w:val="none"/>
        </w:rPr>
        <w:t>组成或参加其他联合体在同一项目中投标</w:t>
      </w:r>
      <w:r>
        <w:rPr>
          <w:rFonts w:hint="eastAsia" w:ascii="宋体" w:hAnsi="宋体"/>
          <w:szCs w:val="21"/>
          <w:highlight w:val="none"/>
        </w:rPr>
        <w:t>的；</w:t>
      </w:r>
    </w:p>
    <w:p>
      <w:pPr>
        <w:spacing w:line="440" w:lineRule="exact"/>
        <w:ind w:firstLine="420" w:firstLineChars="200"/>
        <w:rPr>
          <w:rFonts w:ascii="宋体" w:hAnsi="宋体"/>
          <w:szCs w:val="21"/>
          <w:highlight w:val="none"/>
        </w:rPr>
      </w:pPr>
      <w:r>
        <w:rPr>
          <w:rFonts w:hint="eastAsia" w:ascii="宋体" w:hAnsi="宋体"/>
          <w:szCs w:val="21"/>
          <w:highlight w:val="none"/>
        </w:rPr>
        <w:t xml:space="preserve">2.15  </w:t>
      </w:r>
      <w:r>
        <w:rPr>
          <w:rFonts w:ascii="宋体" w:hAnsi="宋体"/>
          <w:szCs w:val="21"/>
          <w:highlight w:val="none"/>
        </w:rPr>
        <w:t>投标人递交两份或多份内容不同</w:t>
      </w:r>
      <w:r>
        <w:rPr>
          <w:rFonts w:hint="eastAsia" w:ascii="宋体" w:hAnsi="宋体"/>
          <w:szCs w:val="21"/>
          <w:highlight w:val="none"/>
        </w:rPr>
        <w:t>投标方案（</w:t>
      </w:r>
      <w:r>
        <w:rPr>
          <w:rFonts w:ascii="宋体" w:hAnsi="宋体"/>
          <w:szCs w:val="21"/>
          <w:highlight w:val="none"/>
        </w:rPr>
        <w:t>招标文件规定提交备选投标方案的除外</w:t>
      </w:r>
      <w:r>
        <w:rPr>
          <w:rFonts w:hint="eastAsia" w:ascii="宋体" w:hAnsi="宋体"/>
          <w:szCs w:val="21"/>
          <w:highlight w:val="none"/>
        </w:rPr>
        <w:t>）</w:t>
      </w:r>
      <w:r>
        <w:rPr>
          <w:rFonts w:ascii="宋体" w:hAnsi="宋体"/>
          <w:szCs w:val="21"/>
          <w:highlight w:val="none"/>
        </w:rPr>
        <w:t>；</w:t>
      </w:r>
    </w:p>
    <w:p>
      <w:pPr>
        <w:spacing w:line="440" w:lineRule="exact"/>
        <w:ind w:firstLine="420" w:firstLineChars="200"/>
        <w:rPr>
          <w:rFonts w:ascii="宋体" w:hAnsi="宋体"/>
          <w:szCs w:val="21"/>
          <w:highlight w:val="none"/>
        </w:rPr>
      </w:pPr>
      <w:r>
        <w:rPr>
          <w:rFonts w:hint="eastAsia" w:ascii="宋体" w:hAnsi="宋体"/>
          <w:szCs w:val="21"/>
          <w:highlight w:val="none"/>
        </w:rPr>
        <w:t>2.16  投标文件只对</w:t>
      </w:r>
      <w:r>
        <w:rPr>
          <w:rFonts w:ascii="宋体" w:hAnsi="宋体"/>
          <w:szCs w:val="21"/>
          <w:highlight w:val="none"/>
        </w:rPr>
        <w:t>同一</w:t>
      </w:r>
      <w:r>
        <w:rPr>
          <w:rFonts w:hint="eastAsia" w:ascii="宋体" w:hAnsi="宋体"/>
          <w:szCs w:val="21"/>
          <w:highlight w:val="none"/>
        </w:rPr>
        <w:t>项目</w:t>
      </w:r>
      <w:r>
        <w:rPr>
          <w:rFonts w:ascii="宋体" w:hAnsi="宋体"/>
          <w:szCs w:val="21"/>
          <w:highlight w:val="none"/>
        </w:rPr>
        <w:t>包中的</w:t>
      </w:r>
      <w:r>
        <w:rPr>
          <w:rFonts w:hint="eastAsia" w:ascii="宋体" w:hAnsi="宋体"/>
          <w:szCs w:val="21"/>
          <w:highlight w:val="none"/>
        </w:rPr>
        <w:t>部分</w:t>
      </w:r>
      <w:r>
        <w:rPr>
          <w:rFonts w:ascii="宋体" w:hAnsi="宋体"/>
          <w:szCs w:val="21"/>
          <w:highlight w:val="none"/>
        </w:rPr>
        <w:t>内容</w:t>
      </w:r>
      <w:r>
        <w:rPr>
          <w:rFonts w:hint="eastAsia" w:ascii="宋体" w:hAnsi="宋体"/>
          <w:szCs w:val="21"/>
          <w:highlight w:val="none"/>
        </w:rPr>
        <w:t>投标，或把</w:t>
      </w:r>
      <w:r>
        <w:rPr>
          <w:rFonts w:ascii="宋体" w:hAnsi="宋体"/>
          <w:szCs w:val="21"/>
          <w:highlight w:val="none"/>
        </w:rPr>
        <w:t>同一</w:t>
      </w:r>
      <w:r>
        <w:rPr>
          <w:rFonts w:hint="eastAsia" w:ascii="宋体" w:hAnsi="宋体"/>
          <w:szCs w:val="21"/>
          <w:highlight w:val="none"/>
        </w:rPr>
        <w:t>项目</w:t>
      </w:r>
      <w:r>
        <w:rPr>
          <w:rFonts w:ascii="宋体" w:hAnsi="宋体"/>
          <w:szCs w:val="21"/>
          <w:highlight w:val="none"/>
        </w:rPr>
        <w:t>包中</w:t>
      </w:r>
      <w:r>
        <w:rPr>
          <w:rFonts w:hint="eastAsia" w:ascii="宋体" w:hAnsi="宋体"/>
          <w:szCs w:val="21"/>
          <w:highlight w:val="none"/>
        </w:rPr>
        <w:t>的内容拆开的投标；</w:t>
      </w:r>
    </w:p>
    <w:p>
      <w:pPr>
        <w:spacing w:line="440" w:lineRule="exact"/>
        <w:ind w:firstLine="420" w:firstLineChars="200"/>
        <w:rPr>
          <w:rFonts w:ascii="宋体" w:hAnsi="宋体"/>
          <w:szCs w:val="21"/>
          <w:highlight w:val="none"/>
        </w:rPr>
      </w:pPr>
      <w:r>
        <w:rPr>
          <w:rFonts w:hint="eastAsia" w:ascii="宋体" w:hAnsi="宋体"/>
          <w:szCs w:val="21"/>
          <w:highlight w:val="none"/>
        </w:rPr>
        <w:t>2.17  评标委员会根据招标文件的规定对投标文件的计算错误进行修正，投标人不接受修正后的投标报价的；</w:t>
      </w:r>
    </w:p>
    <w:p>
      <w:pPr>
        <w:spacing w:line="440" w:lineRule="exact"/>
        <w:ind w:firstLine="420" w:firstLineChars="200"/>
        <w:rPr>
          <w:rFonts w:ascii="宋体" w:hAnsi="宋体"/>
          <w:szCs w:val="21"/>
          <w:highlight w:val="none"/>
        </w:rPr>
      </w:pPr>
      <w:r>
        <w:rPr>
          <w:rFonts w:hint="eastAsia" w:ascii="宋体" w:hAnsi="宋体"/>
          <w:szCs w:val="21"/>
          <w:highlight w:val="none"/>
        </w:rPr>
        <w:t>2.18  投标文件符合法律、法规及</w:t>
      </w:r>
      <w:r>
        <w:rPr>
          <w:rFonts w:hint="eastAsia" w:ascii="宋体" w:hAnsi="宋体"/>
          <w:highlight w:val="none"/>
        </w:rPr>
        <w:t>招标文件中规定的其他否决因素的。</w:t>
      </w:r>
    </w:p>
    <w:p>
      <w:pPr>
        <w:spacing w:line="440" w:lineRule="exact"/>
        <w:jc w:val="center"/>
        <w:rPr>
          <w:rFonts w:ascii="黑体" w:hAnsi="宋体" w:eastAsia="黑体"/>
          <w:bCs/>
          <w:sz w:val="24"/>
          <w:szCs w:val="24"/>
          <w:highlight w:val="none"/>
        </w:rPr>
      </w:pPr>
    </w:p>
    <w:p>
      <w:pPr>
        <w:jc w:val="center"/>
        <w:outlineLvl w:val="1"/>
        <w:rPr>
          <w:rFonts w:ascii="微软雅黑" w:hAnsi="微软雅黑" w:eastAsia="微软雅黑" w:cs="微软雅黑"/>
          <w:b/>
          <w:sz w:val="24"/>
          <w:szCs w:val="24"/>
          <w:highlight w:val="none"/>
        </w:rPr>
      </w:pPr>
      <w:bookmarkStart w:id="9" w:name="_Toc921"/>
      <w:r>
        <w:rPr>
          <w:rFonts w:hint="eastAsia" w:ascii="微软雅黑" w:hAnsi="微软雅黑" w:eastAsia="微软雅黑" w:cs="微软雅黑"/>
          <w:b/>
          <w:sz w:val="24"/>
          <w:szCs w:val="24"/>
          <w:highlight w:val="none"/>
        </w:rPr>
        <w:t>第六节  评标方法及程序</w:t>
      </w:r>
      <w:bookmarkEnd w:id="9"/>
    </w:p>
    <w:p>
      <w:pPr>
        <w:spacing w:line="360" w:lineRule="exact"/>
        <w:ind w:firstLine="422" w:firstLineChars="200"/>
        <w:rPr>
          <w:rFonts w:ascii="宋体" w:hAnsi="宋体"/>
          <w:b/>
          <w:bCs/>
          <w:szCs w:val="21"/>
          <w:highlight w:val="none"/>
        </w:rPr>
      </w:pPr>
      <w:r>
        <w:rPr>
          <w:rFonts w:hint="eastAsia" w:ascii="宋体" w:hAnsi="宋体"/>
          <w:b/>
          <w:bCs/>
          <w:szCs w:val="21"/>
          <w:highlight w:val="none"/>
        </w:rPr>
        <w:t>一、本项目评标及定标方法</w:t>
      </w:r>
    </w:p>
    <w:tbl>
      <w:tblPr>
        <w:tblStyle w:val="5"/>
        <w:tblW w:w="9215"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85"/>
        <w:gridCol w:w="1770"/>
        <w:gridCol w:w="666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blHeader/>
          <w:jc w:val="center"/>
        </w:trPr>
        <w:tc>
          <w:tcPr>
            <w:tcW w:w="785" w:type="dxa"/>
            <w:vAlign w:val="center"/>
          </w:tcPr>
          <w:p>
            <w:pPr>
              <w:spacing w:line="440" w:lineRule="exact"/>
              <w:jc w:val="center"/>
              <w:rPr>
                <w:rFonts w:ascii="宋体" w:hAnsi="宋体" w:eastAsiaTheme="minorEastAsia" w:cstheme="minorBidi"/>
                <w:b/>
                <w:bCs/>
                <w:szCs w:val="21"/>
                <w:highlight w:val="none"/>
              </w:rPr>
            </w:pPr>
            <w:r>
              <w:rPr>
                <w:rFonts w:hint="eastAsia" w:ascii="宋体" w:hAnsi="宋体" w:eastAsiaTheme="minorEastAsia" w:cstheme="minorBidi"/>
                <w:b/>
                <w:bCs/>
                <w:szCs w:val="21"/>
                <w:highlight w:val="none"/>
              </w:rPr>
              <w:t>序号</w:t>
            </w:r>
          </w:p>
        </w:tc>
        <w:tc>
          <w:tcPr>
            <w:tcW w:w="1770" w:type="dxa"/>
            <w:vAlign w:val="center"/>
          </w:tcPr>
          <w:p>
            <w:pPr>
              <w:spacing w:line="440" w:lineRule="exact"/>
              <w:jc w:val="center"/>
              <w:rPr>
                <w:rFonts w:ascii="宋体" w:hAnsi="宋体" w:eastAsiaTheme="minorEastAsia" w:cstheme="minorBidi"/>
                <w:b/>
                <w:bCs/>
                <w:szCs w:val="21"/>
                <w:highlight w:val="none"/>
              </w:rPr>
            </w:pPr>
            <w:r>
              <w:rPr>
                <w:rFonts w:hint="eastAsia" w:ascii="宋体" w:hAnsi="宋体" w:eastAsiaTheme="minorEastAsia" w:cstheme="minorBidi"/>
                <w:b/>
                <w:bCs/>
                <w:szCs w:val="21"/>
                <w:highlight w:val="none"/>
              </w:rPr>
              <w:t>项目</w:t>
            </w:r>
          </w:p>
        </w:tc>
        <w:tc>
          <w:tcPr>
            <w:tcW w:w="6660" w:type="dxa"/>
            <w:vAlign w:val="center"/>
          </w:tcPr>
          <w:p>
            <w:pPr>
              <w:spacing w:line="440" w:lineRule="exact"/>
              <w:jc w:val="center"/>
              <w:rPr>
                <w:rFonts w:ascii="宋体" w:hAnsi="宋体" w:eastAsiaTheme="minorEastAsia" w:cstheme="minorBidi"/>
                <w:b/>
                <w:bCs/>
                <w:szCs w:val="21"/>
                <w:highlight w:val="none"/>
              </w:rPr>
            </w:pPr>
            <w:r>
              <w:rPr>
                <w:rFonts w:hint="eastAsia" w:ascii="宋体" w:hAnsi="宋体" w:eastAsiaTheme="minorEastAsia" w:cstheme="minorBidi"/>
                <w:b/>
                <w:bCs/>
                <w:szCs w:val="21"/>
                <w:highlight w:val="none"/>
              </w:rPr>
              <w:t>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jc w:val="center"/>
        </w:trPr>
        <w:tc>
          <w:tcPr>
            <w:tcW w:w="785" w:type="dxa"/>
            <w:vAlign w:val="center"/>
          </w:tcPr>
          <w:p>
            <w:pPr>
              <w:spacing w:line="440" w:lineRule="exact"/>
              <w:jc w:val="center"/>
              <w:rPr>
                <w:rFonts w:ascii="宋体" w:hAnsi="宋体" w:eastAsiaTheme="minorEastAsia" w:cstheme="minorBidi"/>
                <w:bCs/>
                <w:szCs w:val="21"/>
                <w:highlight w:val="none"/>
              </w:rPr>
            </w:pPr>
            <w:r>
              <w:rPr>
                <w:rFonts w:hint="eastAsia" w:ascii="宋体" w:hAnsi="宋体" w:eastAsiaTheme="minorEastAsia" w:cstheme="minorBidi"/>
                <w:bCs/>
                <w:szCs w:val="21"/>
                <w:highlight w:val="none"/>
              </w:rPr>
              <w:t>1</w:t>
            </w:r>
          </w:p>
        </w:tc>
        <w:tc>
          <w:tcPr>
            <w:tcW w:w="1770" w:type="dxa"/>
            <w:vAlign w:val="center"/>
          </w:tcPr>
          <w:p>
            <w:pPr>
              <w:spacing w:line="440" w:lineRule="exact"/>
              <w:rPr>
                <w:rFonts w:ascii="宋体" w:hAnsi="宋体" w:eastAsiaTheme="minorEastAsia" w:cstheme="minorBidi"/>
                <w:bCs/>
                <w:szCs w:val="21"/>
                <w:highlight w:val="none"/>
              </w:rPr>
            </w:pPr>
            <w:r>
              <w:rPr>
                <w:rFonts w:hint="eastAsia" w:ascii="宋体" w:hAnsi="宋体" w:eastAsiaTheme="minorEastAsia" w:cstheme="minorBidi"/>
                <w:bCs/>
                <w:szCs w:val="21"/>
                <w:highlight w:val="none"/>
              </w:rPr>
              <w:t>定标方式</w:t>
            </w:r>
          </w:p>
        </w:tc>
        <w:tc>
          <w:tcPr>
            <w:tcW w:w="6660" w:type="dxa"/>
            <w:vAlign w:val="center"/>
          </w:tcPr>
          <w:p>
            <w:pPr>
              <w:spacing w:line="440" w:lineRule="exact"/>
              <w:rPr>
                <w:rFonts w:ascii="宋体" w:hAnsi="宋体" w:eastAsiaTheme="minorEastAsia" w:cstheme="minorBidi"/>
                <w:b/>
                <w:bCs/>
                <w:szCs w:val="21"/>
                <w:highlight w:val="none"/>
              </w:rPr>
            </w:pPr>
            <w:r>
              <w:rPr>
                <w:rFonts w:hint="eastAsia" w:ascii="MS Mincho" w:hAnsi="MS Mincho" w:cs="MS Mincho" w:eastAsiaTheme="minorEastAsia"/>
                <w:snapToGrid w:val="0"/>
                <w:kern w:val="0"/>
                <w:szCs w:val="21"/>
                <w:highlight w:val="none"/>
              </w:rPr>
              <w:t xml:space="preserve">■ </w:t>
            </w:r>
            <w:r>
              <w:rPr>
                <w:rFonts w:hint="eastAsia" w:ascii="宋体" w:hAnsi="宋体" w:eastAsiaTheme="minorEastAsia" w:cstheme="minorBidi"/>
                <w:szCs w:val="21"/>
                <w:highlight w:val="none"/>
              </w:rPr>
              <w:t xml:space="preserve">授权评标委员会确定中标单位   </w:t>
            </w:r>
            <w:r>
              <w:rPr>
                <w:rFonts w:hint="eastAsia" w:ascii="宋体" w:hAnsi="宋体" w:eastAsiaTheme="minorEastAsia" w:cstheme="minorBidi"/>
                <w:snapToGrid w:val="0"/>
                <w:kern w:val="0"/>
                <w:szCs w:val="21"/>
                <w:highlight w:val="none"/>
              </w:rPr>
              <w:t xml:space="preserve">□ </w:t>
            </w:r>
            <w:r>
              <w:rPr>
                <w:rFonts w:hint="eastAsia" w:asciiTheme="minorHAnsi" w:hAnsiTheme="minorHAnsi" w:eastAsiaTheme="minorEastAsia" w:cstheme="minorBidi"/>
                <w:szCs w:val="22"/>
                <w:highlight w:val="none"/>
              </w:rPr>
              <w:t>评标和定标分离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jc w:val="center"/>
        </w:trPr>
        <w:tc>
          <w:tcPr>
            <w:tcW w:w="785" w:type="dxa"/>
            <w:vAlign w:val="center"/>
          </w:tcPr>
          <w:p>
            <w:pPr>
              <w:spacing w:line="440" w:lineRule="exact"/>
              <w:jc w:val="center"/>
              <w:rPr>
                <w:rFonts w:ascii="宋体" w:hAnsi="宋体" w:eastAsiaTheme="minorEastAsia" w:cstheme="minorBidi"/>
                <w:bCs/>
                <w:szCs w:val="21"/>
                <w:highlight w:val="none"/>
              </w:rPr>
            </w:pPr>
            <w:r>
              <w:rPr>
                <w:rFonts w:hint="eastAsia" w:ascii="宋体" w:hAnsi="宋体" w:eastAsiaTheme="minorEastAsia" w:cstheme="minorBidi"/>
                <w:bCs/>
                <w:szCs w:val="21"/>
                <w:highlight w:val="none"/>
              </w:rPr>
              <w:t>2</w:t>
            </w:r>
          </w:p>
        </w:tc>
        <w:tc>
          <w:tcPr>
            <w:tcW w:w="1770" w:type="dxa"/>
            <w:vAlign w:val="center"/>
          </w:tcPr>
          <w:p>
            <w:pPr>
              <w:spacing w:line="440" w:lineRule="exact"/>
              <w:rPr>
                <w:rFonts w:ascii="宋体" w:hAnsi="宋体" w:eastAsiaTheme="minorEastAsia" w:cstheme="minorBidi"/>
                <w:bCs/>
                <w:szCs w:val="21"/>
                <w:highlight w:val="none"/>
              </w:rPr>
            </w:pPr>
            <w:r>
              <w:rPr>
                <w:rFonts w:hint="eastAsia" w:ascii="宋体" w:hAnsi="宋体" w:eastAsiaTheme="minorEastAsia" w:cstheme="minorBidi"/>
                <w:bCs/>
                <w:szCs w:val="21"/>
                <w:highlight w:val="none"/>
              </w:rPr>
              <w:t>评标方法</w:t>
            </w:r>
          </w:p>
        </w:tc>
        <w:tc>
          <w:tcPr>
            <w:tcW w:w="6660" w:type="dxa"/>
            <w:vAlign w:val="center"/>
          </w:tcPr>
          <w:p>
            <w:pPr>
              <w:spacing w:line="440" w:lineRule="exact"/>
              <w:rPr>
                <w:rFonts w:ascii="宋体" w:hAnsi="宋体" w:eastAsiaTheme="minorEastAsia" w:cstheme="minorBidi"/>
                <w:b/>
                <w:bCs/>
                <w:szCs w:val="21"/>
                <w:highlight w:val="none"/>
              </w:rPr>
            </w:pPr>
            <w:r>
              <w:rPr>
                <w:rFonts w:hint="eastAsia" w:ascii="MS Mincho" w:hAnsi="MS Mincho" w:cs="MS Mincho" w:eastAsiaTheme="minorEastAsia"/>
                <w:snapToGrid w:val="0"/>
                <w:kern w:val="0"/>
                <w:szCs w:val="21"/>
                <w:highlight w:val="none"/>
              </w:rPr>
              <w:t xml:space="preserve">■ </w:t>
            </w:r>
            <w:r>
              <w:rPr>
                <w:rFonts w:hint="eastAsia" w:ascii="宋体" w:hAnsi="宋体" w:eastAsiaTheme="minorEastAsia" w:cstheme="minorBidi"/>
                <w:szCs w:val="21"/>
                <w:highlight w:val="none"/>
              </w:rPr>
              <w:t xml:space="preserve">综合评分法    </w:t>
            </w:r>
            <w:r>
              <w:rPr>
                <w:rFonts w:ascii="宋体" w:hAnsi="宋体" w:eastAsiaTheme="minorEastAsia" w:cstheme="minorBidi"/>
                <w:szCs w:val="21"/>
                <w:highlight w:val="none"/>
              </w:rPr>
              <w:t xml:space="preserve">               </w:t>
            </w:r>
            <w:r>
              <w:rPr>
                <w:rFonts w:hint="eastAsia" w:ascii="宋体" w:hAnsi="宋体" w:eastAsiaTheme="minorEastAsia" w:cstheme="minorBidi"/>
                <w:snapToGrid w:val="0"/>
                <w:kern w:val="0"/>
                <w:szCs w:val="21"/>
                <w:highlight w:val="none"/>
              </w:rPr>
              <w:t xml:space="preserve">□ </w:t>
            </w:r>
            <w:r>
              <w:rPr>
                <w:rFonts w:hint="eastAsia" w:ascii="Calibri" w:hAnsi="Calibri" w:eastAsiaTheme="minorEastAsia" w:cstheme="minorBidi"/>
                <w:szCs w:val="21"/>
                <w:highlight w:val="none"/>
              </w:rPr>
              <w:t>最低价法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jc w:val="center"/>
        </w:trPr>
        <w:tc>
          <w:tcPr>
            <w:tcW w:w="785" w:type="dxa"/>
            <w:vAlign w:val="center"/>
          </w:tcPr>
          <w:p>
            <w:pPr>
              <w:spacing w:line="440" w:lineRule="exact"/>
              <w:jc w:val="center"/>
              <w:rPr>
                <w:rFonts w:ascii="宋体" w:hAnsi="宋体" w:eastAsiaTheme="minorEastAsia" w:cstheme="minorBidi"/>
                <w:bCs/>
                <w:szCs w:val="21"/>
                <w:highlight w:val="none"/>
              </w:rPr>
            </w:pPr>
            <w:r>
              <w:rPr>
                <w:rFonts w:ascii="宋体" w:hAnsi="宋体" w:eastAsiaTheme="minorEastAsia" w:cstheme="minorBidi"/>
                <w:bCs/>
                <w:szCs w:val="21"/>
                <w:highlight w:val="none"/>
              </w:rPr>
              <w:t>3</w:t>
            </w:r>
          </w:p>
        </w:tc>
        <w:tc>
          <w:tcPr>
            <w:tcW w:w="1770" w:type="dxa"/>
            <w:vAlign w:val="center"/>
          </w:tcPr>
          <w:p>
            <w:pPr>
              <w:spacing w:line="440" w:lineRule="exact"/>
              <w:rPr>
                <w:rFonts w:ascii="宋体" w:hAnsi="宋体" w:eastAsiaTheme="minorEastAsia" w:cstheme="minorBidi"/>
                <w:bCs/>
                <w:szCs w:val="21"/>
                <w:highlight w:val="none"/>
              </w:rPr>
            </w:pPr>
            <w:r>
              <w:rPr>
                <w:rFonts w:hint="eastAsia" w:ascii="宋体" w:hAnsi="宋体" w:eastAsiaTheme="minorEastAsia" w:cstheme="minorBidi"/>
                <w:bCs/>
                <w:szCs w:val="21"/>
                <w:highlight w:val="none"/>
              </w:rPr>
              <w:t>价格评审优惠政策</w:t>
            </w:r>
          </w:p>
        </w:tc>
        <w:tc>
          <w:tcPr>
            <w:tcW w:w="6660" w:type="dxa"/>
            <w:vAlign w:val="center"/>
          </w:tcPr>
          <w:p>
            <w:pPr>
              <w:spacing w:line="440" w:lineRule="exact"/>
              <w:rPr>
                <w:rFonts w:asciiTheme="majorEastAsia" w:hAnsiTheme="majorEastAsia" w:eastAsiaTheme="majorEastAsia" w:cstheme="majorEastAsia"/>
                <w:szCs w:val="22"/>
                <w:highlight w:val="none"/>
              </w:rPr>
            </w:pPr>
            <w:r>
              <w:rPr>
                <w:rFonts w:hint="eastAsia" w:asciiTheme="majorEastAsia" w:hAnsiTheme="majorEastAsia" w:eastAsiaTheme="majorEastAsia" w:cstheme="majorEastAsia"/>
                <w:szCs w:val="22"/>
                <w:highlight w:val="none"/>
              </w:rPr>
              <w:t>1、小型企业、微型企业、监狱企业、残疾人福利性单位承接服务，对其价格给予10%的扣除，用扣除后的价格参与评审。满足多项优惠政策的企业，不重复享受多项价格扣除政策。</w:t>
            </w:r>
          </w:p>
          <w:p>
            <w:pPr>
              <w:spacing w:line="440" w:lineRule="exact"/>
              <w:rPr>
                <w:rFonts w:asciiTheme="majorEastAsia" w:hAnsiTheme="majorEastAsia" w:eastAsiaTheme="majorEastAsia" w:cstheme="majorEastAsia"/>
                <w:szCs w:val="22"/>
                <w:highlight w:val="none"/>
              </w:rPr>
            </w:pPr>
            <w:r>
              <w:rPr>
                <w:rFonts w:hint="eastAsia" w:asciiTheme="majorEastAsia" w:hAnsiTheme="majorEastAsia" w:eastAsiaTheme="majorEastAsia" w:cstheme="majorEastAsia"/>
                <w:szCs w:val="22"/>
                <w:highlight w:val="none"/>
              </w:rPr>
              <w:t>2、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3%扣除，用扣除后的价格参加评审。联合体各方均为小微企业的，价格扣除比例为10%。</w:t>
            </w:r>
            <w:r>
              <w:rPr>
                <w:rFonts w:hint="eastAsia" w:asciiTheme="majorEastAsia" w:hAnsiTheme="majorEastAsia" w:eastAsiaTheme="majorEastAsia" w:cstheme="majorEastAsia"/>
                <w:b/>
                <w:szCs w:val="22"/>
                <w:highlight w:val="none"/>
              </w:rPr>
              <w:t>（不接受联合体投标的项目，本条不适用）</w:t>
            </w:r>
            <w:r>
              <w:rPr>
                <w:rFonts w:hint="eastAsia" w:asciiTheme="majorEastAsia" w:hAnsiTheme="majorEastAsia" w:eastAsiaTheme="majorEastAsia" w:cstheme="majorEastAsia"/>
                <w:szCs w:val="22"/>
                <w:highlight w:val="none"/>
              </w:rPr>
              <w:t>。</w:t>
            </w:r>
          </w:p>
          <w:p>
            <w:pPr>
              <w:spacing w:line="440" w:lineRule="exact"/>
              <w:rPr>
                <w:rFonts w:ascii="宋体" w:hAnsi="宋体" w:eastAsiaTheme="minorEastAsia" w:cstheme="minorBidi"/>
                <w:b/>
                <w:bCs/>
                <w:szCs w:val="21"/>
                <w:highlight w:val="none"/>
              </w:rPr>
            </w:pPr>
            <w:r>
              <w:rPr>
                <w:rFonts w:hint="eastAsia" w:asciiTheme="majorEastAsia" w:hAnsiTheme="majorEastAsia" w:eastAsiaTheme="majorEastAsia" w:cstheme="majorEastAsia"/>
                <w:szCs w:val="22"/>
                <w:highlight w:val="none"/>
              </w:rPr>
              <w:t>3、优惠主体资格的认定资料为《中小企业声明函》《残疾人福利性单位声明函》《监狱企业声明函》等承诺性质的资料（声明函样式见“第五章 投标文件格式”）；监狱企业如需享受优惠政策，除上述资料外，还须提供省级以上监狱管理局、戒毒管理局出具的监狱企业证明文件。</w:t>
            </w:r>
          </w:p>
        </w:tc>
      </w:tr>
    </w:tbl>
    <w:p>
      <w:pPr>
        <w:spacing w:line="440" w:lineRule="exact"/>
        <w:ind w:firstLine="422" w:firstLineChars="200"/>
        <w:rPr>
          <w:rFonts w:ascii="宋体" w:hAnsi="宋体"/>
          <w:b/>
          <w:bCs/>
          <w:szCs w:val="21"/>
          <w:highlight w:val="none"/>
        </w:rPr>
      </w:pPr>
      <w:r>
        <w:rPr>
          <w:rFonts w:hint="eastAsia" w:ascii="宋体" w:hAnsi="宋体"/>
          <w:b/>
          <w:bCs/>
          <w:szCs w:val="21"/>
          <w:highlight w:val="none"/>
        </w:rPr>
        <w:t>备注：</w:t>
      </w:r>
      <w:r>
        <w:rPr>
          <w:rFonts w:hint="eastAsia" w:ascii="宋体" w:hAnsi="宋体"/>
          <w:snapToGrid w:val="0"/>
          <w:kern w:val="0"/>
          <w:szCs w:val="21"/>
          <w:highlight w:val="none"/>
        </w:rPr>
        <w:t>用“</w:t>
      </w:r>
      <w:r>
        <w:rPr>
          <w:rFonts w:hint="eastAsia" w:ascii="MS Mincho" w:hAnsi="MS Mincho" w:cs="MS Mincho" w:eastAsiaTheme="minorEastAsia"/>
          <w:snapToGrid w:val="0"/>
          <w:kern w:val="0"/>
          <w:szCs w:val="21"/>
          <w:highlight w:val="none"/>
        </w:rPr>
        <w:t>■</w:t>
      </w:r>
      <w:r>
        <w:rPr>
          <w:rFonts w:hint="eastAsia" w:ascii="宋体" w:hAnsi="宋体"/>
          <w:snapToGrid w:val="0"/>
          <w:kern w:val="0"/>
          <w:szCs w:val="21"/>
          <w:highlight w:val="none"/>
        </w:rPr>
        <w:t>”标识时表明该选项被采购人选用，用“□”标识时表明该选项未被采购人选用。</w:t>
      </w:r>
    </w:p>
    <w:p>
      <w:pPr>
        <w:spacing w:line="440" w:lineRule="exact"/>
        <w:ind w:firstLine="422" w:firstLineChars="200"/>
        <w:rPr>
          <w:rFonts w:ascii="宋体" w:hAnsi="宋体"/>
          <w:b/>
          <w:bCs/>
          <w:szCs w:val="21"/>
          <w:highlight w:val="none"/>
        </w:rPr>
      </w:pPr>
      <w:r>
        <w:rPr>
          <w:rFonts w:hint="eastAsia" w:ascii="宋体" w:hAnsi="宋体"/>
          <w:b/>
          <w:bCs/>
          <w:szCs w:val="21"/>
          <w:highlight w:val="none"/>
        </w:rPr>
        <w:t>二、本项目评标信息</w:t>
      </w:r>
    </w:p>
    <w:p>
      <w:pPr>
        <w:spacing w:line="440" w:lineRule="exact"/>
        <w:ind w:firstLine="422" w:firstLineChars="200"/>
        <w:rPr>
          <w:rFonts w:ascii="宋体" w:hAnsi="宋体"/>
          <w:b/>
          <w:bCs/>
          <w:szCs w:val="21"/>
          <w:highlight w:val="none"/>
        </w:rPr>
      </w:pPr>
      <w:r>
        <w:rPr>
          <w:rFonts w:hint="eastAsia" w:ascii="宋体" w:hAnsi="宋体"/>
          <w:b/>
          <w:bCs/>
          <w:szCs w:val="21"/>
          <w:highlight w:val="none"/>
        </w:rPr>
        <w:t>1、</w:t>
      </w:r>
      <w:r>
        <w:rPr>
          <w:rFonts w:ascii="宋体" w:hAnsi="宋体"/>
          <w:b/>
          <w:bCs/>
          <w:szCs w:val="21"/>
          <w:highlight w:val="none"/>
        </w:rPr>
        <w:t>符合性检查表</w:t>
      </w:r>
    </w:p>
    <w:tbl>
      <w:tblPr>
        <w:tblStyle w:val="4"/>
        <w:tblW w:w="92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6706"/>
        <w:gridCol w:w="1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012" w:type="dxa"/>
            <w:vAlign w:val="center"/>
          </w:tcPr>
          <w:p>
            <w:pPr>
              <w:spacing w:line="440" w:lineRule="exact"/>
              <w:jc w:val="center"/>
              <w:rPr>
                <w:rFonts w:ascii="宋体" w:hAnsi="宋体"/>
                <w:b/>
                <w:highlight w:val="none"/>
              </w:rPr>
            </w:pPr>
            <w:r>
              <w:rPr>
                <w:rFonts w:ascii="宋体" w:hAnsi="宋体"/>
                <w:b/>
                <w:highlight w:val="none"/>
              </w:rPr>
              <w:t>序号</w:t>
            </w:r>
          </w:p>
        </w:tc>
        <w:tc>
          <w:tcPr>
            <w:tcW w:w="6706" w:type="dxa"/>
            <w:vAlign w:val="center"/>
          </w:tcPr>
          <w:p>
            <w:pPr>
              <w:spacing w:line="440" w:lineRule="exact"/>
              <w:ind w:left="-828" w:firstLine="828"/>
              <w:jc w:val="center"/>
              <w:rPr>
                <w:rFonts w:ascii="宋体" w:hAnsi="宋体"/>
                <w:b/>
                <w:sz w:val="24"/>
                <w:highlight w:val="none"/>
              </w:rPr>
            </w:pPr>
            <w:r>
              <w:rPr>
                <w:rFonts w:ascii="宋体" w:hAnsi="宋体"/>
                <w:b/>
                <w:highlight w:val="none"/>
              </w:rPr>
              <w:t>评议内容</w:t>
            </w:r>
          </w:p>
        </w:tc>
        <w:tc>
          <w:tcPr>
            <w:tcW w:w="1497" w:type="dxa"/>
            <w:vAlign w:val="center"/>
          </w:tcPr>
          <w:p>
            <w:pPr>
              <w:spacing w:line="440" w:lineRule="exact"/>
              <w:ind w:left="44" w:hanging="44"/>
              <w:jc w:val="center"/>
              <w:rPr>
                <w:rFonts w:ascii="宋体" w:hAnsi="宋体"/>
                <w:b/>
                <w:sz w:val="24"/>
                <w:highlight w:val="none"/>
              </w:rPr>
            </w:pPr>
            <w:r>
              <w:rPr>
                <w:rFonts w:ascii="宋体" w:hAnsi="宋体"/>
                <w:b/>
                <w:highlight w:val="none"/>
              </w:rPr>
              <w:t>评议结果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2" w:type="dxa"/>
            <w:vAlign w:val="center"/>
          </w:tcPr>
          <w:p>
            <w:pPr>
              <w:spacing w:line="440" w:lineRule="exact"/>
              <w:ind w:left="57"/>
              <w:jc w:val="center"/>
              <w:rPr>
                <w:rFonts w:ascii="宋体" w:hAnsi="宋体"/>
                <w:highlight w:val="none"/>
              </w:rPr>
            </w:pPr>
            <w:r>
              <w:rPr>
                <w:rFonts w:hint="eastAsia" w:ascii="宋体" w:hAnsi="宋体"/>
                <w:highlight w:val="none"/>
              </w:rPr>
              <w:t>1</w:t>
            </w:r>
          </w:p>
        </w:tc>
        <w:tc>
          <w:tcPr>
            <w:tcW w:w="6706" w:type="dxa"/>
            <w:vAlign w:val="center"/>
          </w:tcPr>
          <w:p>
            <w:pPr>
              <w:spacing w:line="440" w:lineRule="exact"/>
              <w:rPr>
                <w:rFonts w:ascii="宋体" w:hAnsi="宋体"/>
                <w:sz w:val="24"/>
                <w:highlight w:val="none"/>
              </w:rPr>
            </w:pPr>
            <w:r>
              <w:rPr>
                <w:rFonts w:hint="eastAsia" w:hAnsi="宋体"/>
                <w:szCs w:val="21"/>
                <w:highlight w:val="none"/>
              </w:rPr>
              <w:t>按照招标文件的格式详细填写“投标函”</w:t>
            </w:r>
          </w:p>
        </w:tc>
        <w:tc>
          <w:tcPr>
            <w:tcW w:w="1497" w:type="dxa"/>
            <w:vAlign w:val="center"/>
          </w:tcPr>
          <w:p>
            <w:pPr>
              <w:spacing w:line="440" w:lineRule="exact"/>
              <w:jc w:val="center"/>
              <w:rPr>
                <w:rFonts w:ascii="宋体" w:hAnsi="宋体"/>
                <w:szCs w:val="21"/>
                <w:highlight w:val="none"/>
              </w:rPr>
            </w:pPr>
            <w:r>
              <w:rPr>
                <w:rFonts w:ascii="宋体" w:hAnsi="宋体"/>
                <w:szCs w:val="21"/>
                <w:highlight w:val="none"/>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2" w:type="dxa"/>
            <w:vAlign w:val="center"/>
          </w:tcPr>
          <w:p>
            <w:pPr>
              <w:spacing w:line="440" w:lineRule="exact"/>
              <w:ind w:left="57"/>
              <w:jc w:val="center"/>
              <w:rPr>
                <w:rFonts w:ascii="宋体" w:hAnsi="宋体"/>
                <w:highlight w:val="none"/>
              </w:rPr>
            </w:pPr>
            <w:r>
              <w:rPr>
                <w:rFonts w:hint="eastAsia" w:ascii="宋体" w:hAnsi="宋体"/>
                <w:highlight w:val="none"/>
              </w:rPr>
              <w:t>2</w:t>
            </w:r>
          </w:p>
        </w:tc>
        <w:tc>
          <w:tcPr>
            <w:tcW w:w="6706" w:type="dxa"/>
            <w:vAlign w:val="center"/>
          </w:tcPr>
          <w:p>
            <w:pPr>
              <w:spacing w:line="440" w:lineRule="exact"/>
              <w:rPr>
                <w:rFonts w:ascii="宋体" w:hAnsi="宋体"/>
                <w:highlight w:val="none"/>
              </w:rPr>
            </w:pPr>
            <w:r>
              <w:rPr>
                <w:rFonts w:hint="eastAsia" w:hAnsi="宋体"/>
                <w:szCs w:val="21"/>
                <w:highlight w:val="none"/>
              </w:rPr>
              <w:t>按照招标文件的格式详细填写“</w:t>
            </w:r>
            <w:r>
              <w:rPr>
                <w:rFonts w:hint="eastAsia" w:ascii="宋体" w:hAnsi="宋体"/>
                <w:highlight w:val="none"/>
              </w:rPr>
              <w:t>政府采购投标及履约承诺函</w:t>
            </w:r>
            <w:r>
              <w:rPr>
                <w:rFonts w:hint="eastAsia" w:hAnsi="宋体"/>
                <w:szCs w:val="21"/>
                <w:highlight w:val="none"/>
              </w:rPr>
              <w:t>”</w:t>
            </w:r>
          </w:p>
        </w:tc>
        <w:tc>
          <w:tcPr>
            <w:tcW w:w="1497" w:type="dxa"/>
            <w:vAlign w:val="center"/>
          </w:tcPr>
          <w:p>
            <w:pPr>
              <w:spacing w:line="440" w:lineRule="exact"/>
              <w:jc w:val="center"/>
              <w:rPr>
                <w:rFonts w:ascii="宋体" w:hAnsi="宋体"/>
                <w:szCs w:val="21"/>
                <w:highlight w:val="none"/>
              </w:rPr>
            </w:pPr>
            <w:r>
              <w:rPr>
                <w:rFonts w:ascii="宋体" w:hAnsi="宋体"/>
                <w:szCs w:val="21"/>
                <w:highlight w:val="none"/>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2" w:type="dxa"/>
            <w:vAlign w:val="center"/>
          </w:tcPr>
          <w:p>
            <w:pPr>
              <w:spacing w:line="440" w:lineRule="exact"/>
              <w:ind w:left="57"/>
              <w:jc w:val="center"/>
              <w:rPr>
                <w:rFonts w:ascii="宋体" w:hAnsi="宋体"/>
                <w:highlight w:val="none"/>
              </w:rPr>
            </w:pPr>
            <w:r>
              <w:rPr>
                <w:rFonts w:hint="eastAsia" w:ascii="宋体" w:hAnsi="宋体"/>
                <w:highlight w:val="none"/>
              </w:rPr>
              <w:t>3</w:t>
            </w:r>
          </w:p>
        </w:tc>
        <w:tc>
          <w:tcPr>
            <w:tcW w:w="6706" w:type="dxa"/>
            <w:vAlign w:val="center"/>
          </w:tcPr>
          <w:p>
            <w:pPr>
              <w:spacing w:line="440" w:lineRule="exact"/>
              <w:rPr>
                <w:rFonts w:ascii="宋体" w:hAnsi="宋体"/>
                <w:highlight w:val="none"/>
              </w:rPr>
            </w:pPr>
            <w:r>
              <w:rPr>
                <w:rFonts w:hint="eastAsia" w:ascii="宋体" w:hAnsi="宋体"/>
                <w:highlight w:val="none"/>
              </w:rPr>
              <w:t>开标一览表未出现无报价、报价为零或有选择性报价</w:t>
            </w:r>
          </w:p>
        </w:tc>
        <w:tc>
          <w:tcPr>
            <w:tcW w:w="1497" w:type="dxa"/>
            <w:vAlign w:val="center"/>
          </w:tcPr>
          <w:p>
            <w:pPr>
              <w:spacing w:line="440" w:lineRule="exact"/>
              <w:jc w:val="center"/>
              <w:rPr>
                <w:rFonts w:ascii="宋体" w:hAnsi="宋体"/>
                <w:szCs w:val="21"/>
                <w:highlight w:val="none"/>
              </w:rPr>
            </w:pPr>
            <w:r>
              <w:rPr>
                <w:rFonts w:ascii="宋体" w:hAnsi="宋体"/>
                <w:szCs w:val="21"/>
                <w:highlight w:val="none"/>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2" w:type="dxa"/>
            <w:vAlign w:val="center"/>
          </w:tcPr>
          <w:p>
            <w:pPr>
              <w:spacing w:line="440" w:lineRule="exact"/>
              <w:ind w:left="57"/>
              <w:jc w:val="center"/>
              <w:rPr>
                <w:rFonts w:ascii="宋体" w:hAnsi="宋体"/>
                <w:highlight w:val="none"/>
              </w:rPr>
            </w:pPr>
            <w:r>
              <w:rPr>
                <w:rFonts w:hint="eastAsia" w:ascii="宋体" w:hAnsi="宋体"/>
                <w:highlight w:val="none"/>
              </w:rPr>
              <w:t>4</w:t>
            </w:r>
          </w:p>
        </w:tc>
        <w:tc>
          <w:tcPr>
            <w:tcW w:w="6706" w:type="dxa"/>
            <w:vAlign w:val="center"/>
          </w:tcPr>
          <w:p>
            <w:pPr>
              <w:spacing w:line="440" w:lineRule="exact"/>
              <w:rPr>
                <w:rFonts w:ascii="宋体" w:hAnsi="宋体"/>
                <w:highlight w:val="none"/>
              </w:rPr>
            </w:pPr>
            <w:r>
              <w:rPr>
                <w:rFonts w:hint="eastAsia" w:ascii="宋体" w:hAnsi="宋体"/>
                <w:highlight w:val="none"/>
              </w:rPr>
              <w:t>投标总价</w:t>
            </w:r>
            <w:r>
              <w:rPr>
                <w:rFonts w:hint="eastAsia" w:ascii="宋体" w:hAnsi="宋体"/>
                <w:szCs w:val="21"/>
                <w:highlight w:val="none"/>
              </w:rPr>
              <w:t>或分项报价</w:t>
            </w:r>
            <w:r>
              <w:rPr>
                <w:rFonts w:hint="eastAsia" w:ascii="宋体" w:hAnsi="宋体"/>
                <w:highlight w:val="none"/>
              </w:rPr>
              <w:t>未超过预算控制金额</w:t>
            </w:r>
          </w:p>
        </w:tc>
        <w:tc>
          <w:tcPr>
            <w:tcW w:w="1497" w:type="dxa"/>
            <w:vAlign w:val="center"/>
          </w:tcPr>
          <w:p>
            <w:pPr>
              <w:spacing w:line="440" w:lineRule="exact"/>
              <w:jc w:val="center"/>
              <w:rPr>
                <w:rFonts w:ascii="宋体" w:hAnsi="宋体"/>
                <w:szCs w:val="21"/>
                <w:highlight w:val="none"/>
              </w:rPr>
            </w:pPr>
            <w:r>
              <w:rPr>
                <w:rFonts w:ascii="宋体" w:hAnsi="宋体"/>
                <w:szCs w:val="21"/>
                <w:highlight w:val="none"/>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2" w:type="dxa"/>
            <w:vAlign w:val="center"/>
          </w:tcPr>
          <w:p>
            <w:pPr>
              <w:spacing w:line="440" w:lineRule="exact"/>
              <w:ind w:left="57"/>
              <w:jc w:val="center"/>
              <w:rPr>
                <w:rFonts w:ascii="宋体" w:hAnsi="宋体"/>
                <w:highlight w:val="none"/>
              </w:rPr>
            </w:pPr>
            <w:r>
              <w:rPr>
                <w:rFonts w:hint="eastAsia" w:ascii="宋体" w:hAnsi="宋体"/>
                <w:highlight w:val="none"/>
              </w:rPr>
              <w:t>5</w:t>
            </w:r>
          </w:p>
        </w:tc>
        <w:tc>
          <w:tcPr>
            <w:tcW w:w="6706" w:type="dxa"/>
            <w:vAlign w:val="center"/>
          </w:tcPr>
          <w:p>
            <w:pPr>
              <w:spacing w:line="440" w:lineRule="exact"/>
              <w:rPr>
                <w:rFonts w:asciiTheme="minorEastAsia" w:hAnsiTheme="minorEastAsia" w:eastAsiaTheme="minorEastAsia"/>
                <w:szCs w:val="21"/>
                <w:highlight w:val="none"/>
              </w:rPr>
            </w:pPr>
            <w:r>
              <w:rPr>
                <w:rFonts w:asciiTheme="minorEastAsia" w:hAnsiTheme="minorEastAsia" w:eastAsiaTheme="minorEastAsia"/>
                <w:szCs w:val="21"/>
                <w:highlight w:val="none"/>
              </w:rPr>
              <w:t>评标委员会认为投标人的报价明显低于其他通过符合性审查投标人的报价，有可能影响产品质量或者不能诚信履约的，投标人能在</w:t>
            </w:r>
            <w:r>
              <w:rPr>
                <w:rFonts w:hint="eastAsia" w:asciiTheme="minorEastAsia" w:hAnsiTheme="minorEastAsia" w:eastAsiaTheme="minorEastAsia"/>
                <w:szCs w:val="21"/>
                <w:highlight w:val="none"/>
              </w:rPr>
              <w:t>评标现场</w:t>
            </w:r>
            <w:r>
              <w:rPr>
                <w:rFonts w:asciiTheme="minorEastAsia" w:hAnsiTheme="minorEastAsia" w:eastAsiaTheme="minorEastAsia"/>
                <w:szCs w:val="21"/>
                <w:highlight w:val="none"/>
              </w:rPr>
              <w:t>合理的时间内提供书面说明</w:t>
            </w:r>
            <w:r>
              <w:rPr>
                <w:rFonts w:hint="eastAsia" w:asciiTheme="minorEastAsia" w:hAnsiTheme="minorEastAsia" w:eastAsiaTheme="minorEastAsia"/>
                <w:szCs w:val="21"/>
                <w:highlight w:val="none"/>
              </w:rPr>
              <w:t>（必要时提交相关证明材料）</w:t>
            </w:r>
            <w:r>
              <w:rPr>
                <w:rFonts w:asciiTheme="minorEastAsia" w:hAnsiTheme="minorEastAsia" w:eastAsiaTheme="minorEastAsia"/>
                <w:szCs w:val="21"/>
                <w:highlight w:val="none"/>
              </w:rPr>
              <w:t>或提交</w:t>
            </w:r>
            <w:r>
              <w:rPr>
                <w:rFonts w:hint="eastAsia" w:asciiTheme="minorEastAsia" w:hAnsiTheme="minorEastAsia" w:eastAsiaTheme="minorEastAsia"/>
                <w:szCs w:val="21"/>
                <w:highlight w:val="none"/>
              </w:rPr>
              <w:t>的书面说明</w:t>
            </w:r>
            <w:r>
              <w:rPr>
                <w:rFonts w:asciiTheme="minorEastAsia" w:hAnsiTheme="minorEastAsia" w:eastAsiaTheme="minorEastAsia"/>
                <w:szCs w:val="21"/>
                <w:highlight w:val="none"/>
              </w:rPr>
              <w:t>能证明其报价合理性</w:t>
            </w:r>
            <w:r>
              <w:rPr>
                <w:rFonts w:hint="eastAsia" w:asciiTheme="minorEastAsia" w:hAnsiTheme="minorEastAsia" w:eastAsiaTheme="minorEastAsia"/>
                <w:szCs w:val="21"/>
                <w:highlight w:val="none"/>
              </w:rPr>
              <w:t>。（若</w:t>
            </w:r>
            <w:r>
              <w:rPr>
                <w:rFonts w:asciiTheme="minorEastAsia" w:hAnsiTheme="minorEastAsia" w:eastAsiaTheme="minorEastAsia"/>
                <w:szCs w:val="21"/>
                <w:highlight w:val="none"/>
              </w:rPr>
              <w:t>评标委员会</w:t>
            </w:r>
            <w:r>
              <w:rPr>
                <w:rFonts w:hint="eastAsia" w:asciiTheme="minorEastAsia" w:hAnsiTheme="minorEastAsia" w:eastAsiaTheme="minorEastAsia"/>
                <w:szCs w:val="21"/>
                <w:highlight w:val="none"/>
              </w:rPr>
              <w:t>成员对是否须由投标人做出报价合理性说明，以及书面说明是否采纳等判断不一致的，按照“少数服从多数”的原则确定。）</w:t>
            </w:r>
          </w:p>
        </w:tc>
        <w:tc>
          <w:tcPr>
            <w:tcW w:w="1497" w:type="dxa"/>
            <w:vAlign w:val="center"/>
          </w:tcPr>
          <w:p>
            <w:pPr>
              <w:spacing w:line="440" w:lineRule="exact"/>
              <w:jc w:val="center"/>
              <w:rPr>
                <w:rFonts w:ascii="宋体" w:hAnsi="宋体"/>
                <w:szCs w:val="21"/>
                <w:highlight w:val="none"/>
              </w:rPr>
            </w:pPr>
            <w:r>
              <w:rPr>
                <w:rFonts w:ascii="宋体" w:hAnsi="宋体"/>
                <w:szCs w:val="21"/>
                <w:highlight w:val="none"/>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2" w:type="dxa"/>
            <w:vAlign w:val="center"/>
          </w:tcPr>
          <w:p>
            <w:pPr>
              <w:spacing w:line="440" w:lineRule="exact"/>
              <w:ind w:left="57"/>
              <w:jc w:val="center"/>
              <w:rPr>
                <w:rFonts w:ascii="宋体" w:hAnsi="宋体"/>
                <w:highlight w:val="none"/>
              </w:rPr>
            </w:pPr>
            <w:r>
              <w:rPr>
                <w:rFonts w:hint="eastAsia" w:ascii="宋体" w:hAnsi="宋体"/>
                <w:highlight w:val="none"/>
              </w:rPr>
              <w:t>6</w:t>
            </w:r>
          </w:p>
        </w:tc>
        <w:tc>
          <w:tcPr>
            <w:tcW w:w="6706" w:type="dxa"/>
            <w:vAlign w:val="center"/>
          </w:tcPr>
          <w:p>
            <w:pPr>
              <w:spacing w:line="440" w:lineRule="exact"/>
              <w:rPr>
                <w:rFonts w:ascii="宋体" w:hAnsi="宋体"/>
                <w:highlight w:val="none"/>
              </w:rPr>
            </w:pPr>
            <w:r>
              <w:rPr>
                <w:szCs w:val="21"/>
                <w:highlight w:val="none"/>
              </w:rPr>
              <w:t>实质性满足招标文件要求</w:t>
            </w:r>
            <w:r>
              <w:rPr>
                <w:rFonts w:hint="eastAsia"/>
                <w:szCs w:val="21"/>
                <w:highlight w:val="none"/>
              </w:rPr>
              <w:t>和条件</w:t>
            </w:r>
            <w:r>
              <w:rPr>
                <w:szCs w:val="21"/>
                <w:highlight w:val="none"/>
              </w:rPr>
              <w:t>（</w:t>
            </w:r>
            <w:r>
              <w:rPr>
                <w:rFonts w:hint="eastAsia" w:ascii="宋体" w:hAnsi="宋体"/>
                <w:highlight w:val="none"/>
              </w:rPr>
              <w:t>不可偏离项检查</w:t>
            </w:r>
            <w:r>
              <w:rPr>
                <w:szCs w:val="21"/>
                <w:highlight w:val="none"/>
              </w:rPr>
              <w:t>）</w:t>
            </w:r>
          </w:p>
        </w:tc>
        <w:tc>
          <w:tcPr>
            <w:tcW w:w="1497" w:type="dxa"/>
            <w:vAlign w:val="center"/>
          </w:tcPr>
          <w:p>
            <w:pPr>
              <w:spacing w:line="440" w:lineRule="exact"/>
              <w:jc w:val="center"/>
              <w:rPr>
                <w:rFonts w:ascii="宋体" w:hAnsi="宋体"/>
                <w:szCs w:val="21"/>
                <w:highlight w:val="none"/>
              </w:rPr>
            </w:pPr>
            <w:r>
              <w:rPr>
                <w:rFonts w:ascii="宋体" w:hAnsi="宋体"/>
                <w:szCs w:val="21"/>
                <w:highlight w:val="none"/>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2" w:type="dxa"/>
            <w:vAlign w:val="center"/>
          </w:tcPr>
          <w:p>
            <w:pPr>
              <w:spacing w:line="440" w:lineRule="exact"/>
              <w:ind w:left="57"/>
              <w:jc w:val="center"/>
              <w:rPr>
                <w:rFonts w:ascii="宋体" w:hAnsi="宋体"/>
                <w:highlight w:val="none"/>
              </w:rPr>
            </w:pPr>
            <w:r>
              <w:rPr>
                <w:rFonts w:hint="eastAsia" w:ascii="宋体" w:hAnsi="宋体"/>
                <w:highlight w:val="none"/>
              </w:rPr>
              <w:t>7</w:t>
            </w:r>
          </w:p>
        </w:tc>
        <w:tc>
          <w:tcPr>
            <w:tcW w:w="6706" w:type="dxa"/>
            <w:vAlign w:val="center"/>
          </w:tcPr>
          <w:p>
            <w:pPr>
              <w:spacing w:line="440" w:lineRule="exact"/>
              <w:rPr>
                <w:szCs w:val="21"/>
                <w:highlight w:val="none"/>
              </w:rPr>
            </w:pPr>
            <w:r>
              <w:rPr>
                <w:szCs w:val="21"/>
                <w:highlight w:val="none"/>
              </w:rPr>
              <w:t>投标文件载明的项目服务期</w:t>
            </w:r>
            <w:r>
              <w:rPr>
                <w:rFonts w:hint="eastAsia"/>
                <w:szCs w:val="21"/>
                <w:highlight w:val="none"/>
              </w:rPr>
              <w:t>符合</w:t>
            </w:r>
            <w:r>
              <w:rPr>
                <w:szCs w:val="21"/>
                <w:highlight w:val="none"/>
              </w:rPr>
              <w:t>招标文件规定的期限</w:t>
            </w:r>
          </w:p>
        </w:tc>
        <w:tc>
          <w:tcPr>
            <w:tcW w:w="1497" w:type="dxa"/>
            <w:vAlign w:val="center"/>
          </w:tcPr>
          <w:p>
            <w:pPr>
              <w:spacing w:line="440" w:lineRule="exact"/>
              <w:jc w:val="center"/>
              <w:rPr>
                <w:rFonts w:ascii="宋体" w:hAnsi="宋体"/>
                <w:szCs w:val="21"/>
                <w:highlight w:val="none"/>
              </w:rPr>
            </w:pPr>
            <w:r>
              <w:rPr>
                <w:rFonts w:ascii="宋体" w:hAnsi="宋体"/>
                <w:szCs w:val="21"/>
                <w:highlight w:val="none"/>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2" w:type="dxa"/>
            <w:vAlign w:val="center"/>
          </w:tcPr>
          <w:p>
            <w:pPr>
              <w:spacing w:line="440" w:lineRule="exact"/>
              <w:ind w:left="57"/>
              <w:jc w:val="center"/>
              <w:rPr>
                <w:rFonts w:ascii="宋体" w:hAnsi="宋体"/>
                <w:highlight w:val="none"/>
              </w:rPr>
            </w:pPr>
            <w:r>
              <w:rPr>
                <w:rFonts w:hint="eastAsia" w:ascii="宋体" w:hAnsi="宋体"/>
                <w:highlight w:val="none"/>
              </w:rPr>
              <w:t>8</w:t>
            </w:r>
          </w:p>
        </w:tc>
        <w:tc>
          <w:tcPr>
            <w:tcW w:w="6706" w:type="dxa"/>
            <w:vAlign w:val="center"/>
          </w:tcPr>
          <w:p>
            <w:pPr>
              <w:spacing w:line="440" w:lineRule="exact"/>
              <w:jc w:val="left"/>
              <w:rPr>
                <w:rFonts w:ascii="宋体" w:hAnsi="宋体"/>
                <w:highlight w:val="none"/>
              </w:rPr>
            </w:pPr>
            <w:r>
              <w:rPr>
                <w:rFonts w:hint="eastAsia" w:hAnsi="宋体"/>
                <w:szCs w:val="21"/>
                <w:highlight w:val="none"/>
              </w:rPr>
              <w:t>《技术偏离表》和《商务偏离表》已提交</w:t>
            </w:r>
          </w:p>
        </w:tc>
        <w:tc>
          <w:tcPr>
            <w:tcW w:w="1497" w:type="dxa"/>
            <w:vAlign w:val="center"/>
          </w:tcPr>
          <w:p>
            <w:pPr>
              <w:spacing w:line="440" w:lineRule="exact"/>
              <w:ind w:left="57"/>
              <w:jc w:val="center"/>
              <w:rPr>
                <w:rFonts w:ascii="宋体" w:hAnsi="宋体"/>
                <w:szCs w:val="21"/>
                <w:highlight w:val="none"/>
              </w:rPr>
            </w:pPr>
            <w:r>
              <w:rPr>
                <w:rFonts w:ascii="宋体" w:hAnsi="宋体"/>
                <w:szCs w:val="21"/>
                <w:highlight w:val="none"/>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2" w:type="dxa"/>
            <w:vAlign w:val="center"/>
          </w:tcPr>
          <w:p>
            <w:pPr>
              <w:spacing w:line="440" w:lineRule="exact"/>
              <w:ind w:left="57"/>
              <w:jc w:val="center"/>
              <w:rPr>
                <w:rFonts w:ascii="宋体" w:hAnsi="宋体"/>
                <w:highlight w:val="none"/>
              </w:rPr>
            </w:pPr>
            <w:r>
              <w:rPr>
                <w:rFonts w:hint="eastAsia" w:ascii="宋体" w:hAnsi="宋体"/>
                <w:highlight w:val="none"/>
              </w:rPr>
              <w:t>9</w:t>
            </w:r>
          </w:p>
        </w:tc>
        <w:tc>
          <w:tcPr>
            <w:tcW w:w="6706" w:type="dxa"/>
            <w:vAlign w:val="center"/>
          </w:tcPr>
          <w:p>
            <w:pPr>
              <w:spacing w:line="440" w:lineRule="exact"/>
              <w:rPr>
                <w:rFonts w:ascii="宋体" w:hAnsi="宋体"/>
                <w:highlight w:val="none"/>
              </w:rPr>
            </w:pPr>
            <w:r>
              <w:rPr>
                <w:rFonts w:hint="eastAsia" w:ascii="宋体" w:hAnsi="宋体"/>
                <w:highlight w:val="none"/>
              </w:rPr>
              <w:t>不存在“否决性条款”列明的其他情况</w:t>
            </w:r>
          </w:p>
        </w:tc>
        <w:tc>
          <w:tcPr>
            <w:tcW w:w="1497" w:type="dxa"/>
            <w:vAlign w:val="center"/>
          </w:tcPr>
          <w:p>
            <w:pPr>
              <w:spacing w:line="440" w:lineRule="exact"/>
              <w:jc w:val="center"/>
              <w:rPr>
                <w:rFonts w:ascii="宋体" w:hAnsi="宋体"/>
                <w:szCs w:val="21"/>
                <w:highlight w:val="none"/>
              </w:rPr>
            </w:pPr>
            <w:r>
              <w:rPr>
                <w:rFonts w:ascii="宋体" w:hAnsi="宋体"/>
                <w:szCs w:val="21"/>
                <w:highlight w:val="none"/>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2" w:type="dxa"/>
            <w:vAlign w:val="center"/>
          </w:tcPr>
          <w:p>
            <w:pPr>
              <w:spacing w:line="440" w:lineRule="exact"/>
              <w:ind w:left="57"/>
              <w:jc w:val="center"/>
              <w:rPr>
                <w:rFonts w:ascii="宋体" w:hAnsi="宋体"/>
                <w:highlight w:val="none"/>
              </w:rPr>
            </w:pPr>
            <w:r>
              <w:rPr>
                <w:rFonts w:hint="eastAsia" w:ascii="宋体" w:hAnsi="宋体"/>
                <w:highlight w:val="none"/>
              </w:rPr>
              <w:t>10</w:t>
            </w:r>
          </w:p>
        </w:tc>
        <w:tc>
          <w:tcPr>
            <w:tcW w:w="6706" w:type="dxa"/>
            <w:vAlign w:val="center"/>
          </w:tcPr>
          <w:p>
            <w:pPr>
              <w:spacing w:line="440" w:lineRule="exact"/>
              <w:rPr>
                <w:rFonts w:ascii="宋体" w:hAnsi="宋体"/>
                <w:szCs w:val="21"/>
                <w:highlight w:val="none"/>
              </w:rPr>
            </w:pPr>
            <w:r>
              <w:rPr>
                <w:rFonts w:ascii="宋体" w:hAnsi="宋体"/>
                <w:szCs w:val="21"/>
                <w:highlight w:val="none"/>
              </w:rPr>
              <w:t>结论</w:t>
            </w:r>
          </w:p>
        </w:tc>
        <w:tc>
          <w:tcPr>
            <w:tcW w:w="1497" w:type="dxa"/>
            <w:vAlign w:val="center"/>
          </w:tcPr>
          <w:p>
            <w:pPr>
              <w:spacing w:line="440" w:lineRule="exact"/>
              <w:jc w:val="center"/>
              <w:rPr>
                <w:rFonts w:ascii="宋体" w:hAnsi="宋体"/>
                <w:szCs w:val="21"/>
                <w:highlight w:val="none"/>
              </w:rPr>
            </w:pPr>
            <w:r>
              <w:rPr>
                <w:rFonts w:ascii="宋体" w:hAnsi="宋体"/>
                <w:szCs w:val="21"/>
                <w:highlight w:val="none"/>
              </w:rPr>
              <w:t>通过/不通过</w:t>
            </w:r>
          </w:p>
        </w:tc>
      </w:tr>
    </w:tbl>
    <w:p>
      <w:pPr>
        <w:spacing w:line="340" w:lineRule="exact"/>
        <w:ind w:firstLine="422" w:firstLineChars="200"/>
        <w:rPr>
          <w:rFonts w:ascii="宋体" w:hAnsi="宋体"/>
          <w:b/>
          <w:szCs w:val="21"/>
          <w:highlight w:val="none"/>
        </w:rPr>
      </w:pPr>
      <w:r>
        <w:rPr>
          <w:rFonts w:hint="eastAsia" w:ascii="宋体" w:hAnsi="宋体"/>
          <w:b/>
          <w:szCs w:val="21"/>
          <w:highlight w:val="none"/>
        </w:rPr>
        <w:t>2、评分表</w:t>
      </w:r>
    </w:p>
    <w:tbl>
      <w:tblPr>
        <w:tblStyle w:val="4"/>
        <w:tblW w:w="92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749"/>
        <w:gridCol w:w="1662"/>
        <w:gridCol w:w="679"/>
        <w:gridCol w:w="5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Align w:val="center"/>
          </w:tcPr>
          <w:p>
            <w:pPr>
              <w:spacing w:line="440" w:lineRule="exact"/>
              <w:jc w:val="center"/>
              <w:rPr>
                <w:rFonts w:ascii="宋体" w:hAnsi="宋体"/>
                <w:b/>
                <w:szCs w:val="21"/>
                <w:highlight w:val="none"/>
              </w:rPr>
            </w:pPr>
            <w:r>
              <w:rPr>
                <w:rFonts w:hint="eastAsia" w:ascii="宋体" w:hAnsi="宋体"/>
                <w:b/>
                <w:szCs w:val="21"/>
                <w:highlight w:val="none"/>
              </w:rPr>
              <w:t>序号</w:t>
            </w:r>
          </w:p>
        </w:tc>
        <w:tc>
          <w:tcPr>
            <w:tcW w:w="3090" w:type="dxa"/>
            <w:gridSpan w:val="3"/>
            <w:vAlign w:val="center"/>
          </w:tcPr>
          <w:p>
            <w:pPr>
              <w:spacing w:line="440" w:lineRule="exact"/>
              <w:jc w:val="center"/>
              <w:rPr>
                <w:rFonts w:ascii="宋体" w:hAnsi="宋体"/>
                <w:b/>
                <w:szCs w:val="21"/>
                <w:highlight w:val="none"/>
              </w:rPr>
            </w:pPr>
            <w:r>
              <w:rPr>
                <w:rFonts w:hint="eastAsia" w:ascii="宋体" w:hAnsi="宋体"/>
                <w:b/>
                <w:szCs w:val="21"/>
                <w:highlight w:val="none"/>
              </w:rPr>
              <w:t>评分项</w:t>
            </w:r>
          </w:p>
        </w:tc>
        <w:tc>
          <w:tcPr>
            <w:tcW w:w="5413" w:type="dxa"/>
            <w:vAlign w:val="center"/>
          </w:tcPr>
          <w:p>
            <w:pPr>
              <w:spacing w:line="440" w:lineRule="exact"/>
              <w:jc w:val="center"/>
              <w:rPr>
                <w:rFonts w:ascii="宋体" w:hAnsi="宋体"/>
                <w:b/>
                <w:szCs w:val="21"/>
                <w:highlight w:val="none"/>
              </w:rPr>
            </w:pPr>
            <w:r>
              <w:rPr>
                <w:rFonts w:hint="eastAsia" w:ascii="宋体" w:hAnsi="宋体"/>
                <w:b/>
                <w:szCs w:val="21"/>
                <w:highlight w:val="none"/>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Align w:val="center"/>
          </w:tcPr>
          <w:p>
            <w:pPr>
              <w:spacing w:line="440" w:lineRule="exact"/>
              <w:jc w:val="center"/>
              <w:rPr>
                <w:rFonts w:ascii="宋体" w:hAnsi="宋体"/>
                <w:b/>
                <w:szCs w:val="21"/>
                <w:highlight w:val="none"/>
              </w:rPr>
            </w:pPr>
            <w:r>
              <w:rPr>
                <w:rFonts w:ascii="宋体" w:hAnsi="宋体"/>
                <w:b/>
                <w:szCs w:val="21"/>
                <w:highlight w:val="none"/>
              </w:rPr>
              <w:t>1</w:t>
            </w:r>
          </w:p>
        </w:tc>
        <w:tc>
          <w:tcPr>
            <w:tcW w:w="3090" w:type="dxa"/>
            <w:gridSpan w:val="3"/>
            <w:vAlign w:val="center"/>
          </w:tcPr>
          <w:p>
            <w:pPr>
              <w:spacing w:line="440" w:lineRule="exact"/>
              <w:jc w:val="center"/>
              <w:rPr>
                <w:rFonts w:ascii="宋体" w:hAnsi="宋体"/>
                <w:b/>
                <w:szCs w:val="21"/>
                <w:highlight w:val="none"/>
              </w:rPr>
            </w:pPr>
            <w:r>
              <w:rPr>
                <w:rFonts w:hint="eastAsia" w:ascii="宋体" w:hAnsi="宋体"/>
                <w:b/>
                <w:szCs w:val="21"/>
                <w:highlight w:val="none"/>
              </w:rPr>
              <w:t>价格</w:t>
            </w:r>
          </w:p>
        </w:tc>
        <w:tc>
          <w:tcPr>
            <w:tcW w:w="5413" w:type="dxa"/>
            <w:vAlign w:val="center"/>
          </w:tcPr>
          <w:p>
            <w:pPr>
              <w:spacing w:line="440" w:lineRule="exact"/>
              <w:jc w:val="center"/>
              <w:rPr>
                <w:rFonts w:ascii="宋体" w:hAnsi="宋体"/>
                <w:b/>
                <w:szCs w:val="21"/>
                <w:highlight w:val="none"/>
              </w:rPr>
            </w:pPr>
            <w:r>
              <w:rPr>
                <w:rFonts w:hint="eastAsia" w:ascii="宋体" w:hAnsi="宋体"/>
                <w:b/>
                <w:szCs w:val="21"/>
                <w:highlight w:val="none"/>
              </w:rPr>
              <w:t>1</w:t>
            </w:r>
            <w:r>
              <w:rPr>
                <w:rFonts w:ascii="宋体" w:hAnsi="宋体"/>
                <w:b/>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Align w:val="center"/>
          </w:tcPr>
          <w:p>
            <w:pPr>
              <w:spacing w:line="440" w:lineRule="exact"/>
              <w:jc w:val="center"/>
              <w:rPr>
                <w:rFonts w:ascii="宋体" w:hAnsi="宋体"/>
                <w:szCs w:val="21"/>
                <w:highlight w:val="none"/>
              </w:rPr>
            </w:pPr>
          </w:p>
        </w:tc>
        <w:tc>
          <w:tcPr>
            <w:tcW w:w="8503" w:type="dxa"/>
            <w:gridSpan w:val="4"/>
            <w:vAlign w:val="center"/>
          </w:tcPr>
          <w:p>
            <w:pPr>
              <w:spacing w:line="440" w:lineRule="exact"/>
              <w:rPr>
                <w:rFonts w:ascii="宋体" w:hAnsi="宋体"/>
                <w:szCs w:val="21"/>
                <w:highlight w:val="none"/>
              </w:rPr>
            </w:pPr>
            <w:r>
              <w:rPr>
                <w:rFonts w:hint="eastAsia" w:ascii="宋体" w:hAnsi="宋体"/>
                <w:szCs w:val="21"/>
                <w:highlight w:val="none"/>
              </w:rPr>
              <w:t>投标报价价格分=（评标基准价/投标报价）×10</w:t>
            </w:r>
          </w:p>
          <w:p>
            <w:pPr>
              <w:spacing w:line="440" w:lineRule="exact"/>
              <w:jc w:val="left"/>
              <w:rPr>
                <w:rFonts w:ascii="宋体" w:hAnsi="宋体"/>
                <w:szCs w:val="21"/>
                <w:highlight w:val="none"/>
              </w:rPr>
            </w:pPr>
            <w:r>
              <w:rPr>
                <w:rFonts w:hint="eastAsia" w:ascii="宋体" w:hAnsi="宋体"/>
                <w:szCs w:val="21"/>
                <w:highlight w:val="none"/>
              </w:rPr>
              <w:t>评标基准价为满足招标文件要求且投标价格最低的投标报价。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Align w:val="center"/>
          </w:tcPr>
          <w:p>
            <w:pPr>
              <w:spacing w:line="440" w:lineRule="exact"/>
              <w:jc w:val="center"/>
              <w:rPr>
                <w:rFonts w:ascii="宋体" w:hAnsi="宋体"/>
                <w:b/>
                <w:szCs w:val="21"/>
                <w:highlight w:val="none"/>
              </w:rPr>
            </w:pPr>
            <w:r>
              <w:rPr>
                <w:rFonts w:ascii="宋体" w:hAnsi="宋体"/>
                <w:b/>
                <w:szCs w:val="21"/>
                <w:highlight w:val="none"/>
              </w:rPr>
              <w:t>2</w:t>
            </w:r>
          </w:p>
        </w:tc>
        <w:tc>
          <w:tcPr>
            <w:tcW w:w="3090" w:type="dxa"/>
            <w:gridSpan w:val="3"/>
            <w:vAlign w:val="center"/>
          </w:tcPr>
          <w:p>
            <w:pPr>
              <w:spacing w:line="440" w:lineRule="exact"/>
              <w:jc w:val="center"/>
              <w:rPr>
                <w:rFonts w:ascii="宋体" w:hAnsi="宋体"/>
                <w:b/>
                <w:szCs w:val="21"/>
                <w:highlight w:val="none"/>
              </w:rPr>
            </w:pPr>
            <w:r>
              <w:rPr>
                <w:rFonts w:hint="eastAsia" w:ascii="宋体" w:hAnsi="宋体"/>
                <w:b/>
                <w:szCs w:val="21"/>
                <w:highlight w:val="none"/>
              </w:rPr>
              <w:t>技术部分</w:t>
            </w:r>
          </w:p>
        </w:tc>
        <w:tc>
          <w:tcPr>
            <w:tcW w:w="5413" w:type="dxa"/>
            <w:vAlign w:val="center"/>
          </w:tcPr>
          <w:p>
            <w:pPr>
              <w:spacing w:line="440" w:lineRule="exact"/>
              <w:jc w:val="center"/>
              <w:rPr>
                <w:rFonts w:ascii="宋体" w:hAnsi="宋体"/>
                <w:b/>
                <w:szCs w:val="21"/>
                <w:highlight w:val="none"/>
              </w:rPr>
            </w:pPr>
            <w:r>
              <w:rPr>
                <w:rFonts w:hint="eastAsia" w:ascii="宋体" w:hAnsi="宋体"/>
                <w:b/>
                <w:szCs w:val="21"/>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Merge w:val="restart"/>
            <w:vAlign w:val="center"/>
          </w:tcPr>
          <w:p>
            <w:pPr>
              <w:spacing w:line="440" w:lineRule="exact"/>
              <w:jc w:val="center"/>
              <w:rPr>
                <w:rFonts w:ascii="宋体" w:hAnsi="宋体"/>
                <w:szCs w:val="21"/>
                <w:highlight w:val="none"/>
              </w:rPr>
            </w:pPr>
          </w:p>
        </w:tc>
        <w:tc>
          <w:tcPr>
            <w:tcW w:w="749" w:type="dxa"/>
            <w:vAlign w:val="center"/>
          </w:tcPr>
          <w:p>
            <w:pPr>
              <w:spacing w:line="440" w:lineRule="exact"/>
              <w:jc w:val="center"/>
              <w:rPr>
                <w:rFonts w:ascii="宋体" w:hAnsi="宋体"/>
                <w:b/>
                <w:szCs w:val="21"/>
                <w:highlight w:val="none"/>
              </w:rPr>
            </w:pPr>
            <w:r>
              <w:rPr>
                <w:rFonts w:hint="eastAsia" w:ascii="宋体" w:hAnsi="宋体"/>
                <w:b/>
                <w:szCs w:val="21"/>
                <w:highlight w:val="none"/>
              </w:rPr>
              <w:t>序号</w:t>
            </w:r>
          </w:p>
        </w:tc>
        <w:tc>
          <w:tcPr>
            <w:tcW w:w="1662" w:type="dxa"/>
            <w:vAlign w:val="center"/>
          </w:tcPr>
          <w:p>
            <w:pPr>
              <w:spacing w:line="440" w:lineRule="exact"/>
              <w:jc w:val="center"/>
              <w:rPr>
                <w:rFonts w:ascii="宋体" w:hAnsi="宋体"/>
                <w:b/>
                <w:szCs w:val="21"/>
                <w:highlight w:val="none"/>
              </w:rPr>
            </w:pPr>
            <w:r>
              <w:rPr>
                <w:rFonts w:hint="eastAsia" w:ascii="宋体" w:hAnsi="宋体"/>
                <w:b/>
                <w:szCs w:val="21"/>
                <w:highlight w:val="none"/>
              </w:rPr>
              <w:t>评分因素</w:t>
            </w:r>
          </w:p>
        </w:tc>
        <w:tc>
          <w:tcPr>
            <w:tcW w:w="679" w:type="dxa"/>
            <w:vAlign w:val="center"/>
          </w:tcPr>
          <w:p>
            <w:pPr>
              <w:spacing w:line="440" w:lineRule="exact"/>
              <w:jc w:val="center"/>
              <w:rPr>
                <w:rFonts w:ascii="宋体" w:hAnsi="宋体"/>
                <w:b/>
                <w:szCs w:val="21"/>
                <w:highlight w:val="none"/>
              </w:rPr>
            </w:pPr>
            <w:r>
              <w:rPr>
                <w:rFonts w:hint="eastAsia" w:ascii="宋体" w:hAnsi="宋体"/>
                <w:b/>
                <w:szCs w:val="21"/>
                <w:highlight w:val="none"/>
              </w:rPr>
              <w:t>权重</w:t>
            </w:r>
          </w:p>
        </w:tc>
        <w:tc>
          <w:tcPr>
            <w:tcW w:w="5413" w:type="dxa"/>
            <w:vAlign w:val="center"/>
          </w:tcPr>
          <w:p>
            <w:pPr>
              <w:spacing w:line="440" w:lineRule="exact"/>
              <w:jc w:val="center"/>
              <w:rPr>
                <w:rFonts w:ascii="宋体" w:hAnsi="宋体"/>
                <w:b/>
                <w:szCs w:val="21"/>
                <w:highlight w:val="none"/>
              </w:rPr>
            </w:pPr>
            <w:r>
              <w:rPr>
                <w:rFonts w:hint="eastAsia" w:ascii="宋体" w:hAnsi="宋体"/>
                <w:b/>
                <w:szCs w:val="21"/>
                <w:highlight w:val="none"/>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Merge w:val="continue"/>
            <w:vAlign w:val="center"/>
          </w:tcPr>
          <w:p>
            <w:pPr>
              <w:spacing w:line="440" w:lineRule="exact"/>
              <w:jc w:val="center"/>
              <w:outlineLvl w:val="0"/>
              <w:rPr>
                <w:rFonts w:ascii="宋体" w:hAnsi="宋体"/>
                <w:szCs w:val="21"/>
                <w:highlight w:val="none"/>
              </w:rPr>
            </w:pPr>
          </w:p>
        </w:tc>
        <w:tc>
          <w:tcPr>
            <w:tcW w:w="749" w:type="dxa"/>
            <w:vAlign w:val="center"/>
          </w:tcPr>
          <w:p>
            <w:pPr>
              <w:widowControl/>
              <w:spacing w:line="400" w:lineRule="exact"/>
              <w:jc w:val="center"/>
              <w:rPr>
                <w:rFonts w:ascii="宋体" w:hAnsi="宋体" w:cs="宋体"/>
                <w:szCs w:val="21"/>
                <w:highlight w:val="none"/>
              </w:rPr>
            </w:pPr>
            <w:r>
              <w:rPr>
                <w:rFonts w:hint="eastAsia" w:ascii="宋体" w:hAnsi="宋体" w:cs="宋体"/>
                <w:szCs w:val="21"/>
                <w:highlight w:val="none"/>
              </w:rPr>
              <w:t>1</w:t>
            </w:r>
          </w:p>
        </w:tc>
        <w:tc>
          <w:tcPr>
            <w:tcW w:w="1662" w:type="dxa"/>
            <w:vAlign w:val="center"/>
          </w:tcPr>
          <w:p>
            <w:pPr>
              <w:widowControl/>
              <w:spacing w:line="400" w:lineRule="exact"/>
              <w:jc w:val="center"/>
              <w:rPr>
                <w:rFonts w:ascii="宋体" w:hAnsi="宋体" w:cs="宋体"/>
                <w:szCs w:val="21"/>
                <w:highlight w:val="none"/>
              </w:rPr>
            </w:pPr>
            <w:r>
              <w:rPr>
                <w:rFonts w:hint="eastAsia" w:ascii="宋体" w:hAnsi="宋体" w:cs="宋体"/>
                <w:szCs w:val="21"/>
                <w:highlight w:val="none"/>
              </w:rPr>
              <w:t>活动实施方案</w:t>
            </w:r>
          </w:p>
        </w:tc>
        <w:tc>
          <w:tcPr>
            <w:tcW w:w="679" w:type="dxa"/>
            <w:vAlign w:val="center"/>
          </w:tcPr>
          <w:p>
            <w:pPr>
              <w:widowControl/>
              <w:spacing w:line="400" w:lineRule="exact"/>
              <w:jc w:val="center"/>
              <w:rPr>
                <w:rFonts w:ascii="宋体" w:hAnsi="宋体" w:cs="宋体"/>
                <w:szCs w:val="21"/>
                <w:highlight w:val="none"/>
              </w:rPr>
            </w:pPr>
            <w:r>
              <w:rPr>
                <w:rFonts w:hint="eastAsia" w:ascii="宋体" w:hAnsi="宋体" w:cs="宋体"/>
                <w:szCs w:val="21"/>
                <w:highlight w:val="none"/>
              </w:rPr>
              <w:t>8</w:t>
            </w:r>
          </w:p>
        </w:tc>
        <w:tc>
          <w:tcPr>
            <w:tcW w:w="5413" w:type="dxa"/>
          </w:tcPr>
          <w:p>
            <w:pPr>
              <w:widowControl/>
              <w:spacing w:line="400" w:lineRule="exact"/>
              <w:rPr>
                <w:rFonts w:ascii="宋体" w:hAnsi="宋体" w:cs="宋体"/>
                <w:szCs w:val="21"/>
                <w:highlight w:val="none"/>
              </w:rPr>
            </w:pPr>
            <w:r>
              <w:rPr>
                <w:rFonts w:hint="eastAsia" w:ascii="宋体" w:hAnsi="宋体" w:cs="宋体"/>
                <w:szCs w:val="21"/>
                <w:highlight w:val="none"/>
              </w:rPr>
              <w:t>评审内容：投标人制定符合本项目主题的实施方案，包括围绕组织机构介绍、音乐会曲目策划、交流茶歇策划</w:t>
            </w:r>
            <w:r>
              <w:rPr>
                <w:rFonts w:hint="eastAsia" w:ascii="宋体" w:hAnsi="宋体" w:cs="宋体"/>
                <w:szCs w:val="21"/>
                <w:highlight w:val="none"/>
                <w:lang w:eastAsia="zh-CN"/>
              </w:rPr>
              <w:t>、</w:t>
            </w:r>
            <w:r>
              <w:rPr>
                <w:rFonts w:hint="eastAsia" w:ascii="宋体" w:hAnsi="宋体" w:cs="宋体"/>
                <w:szCs w:val="21"/>
                <w:highlight w:val="none"/>
              </w:rPr>
              <w:t>现场布置方案、活动预算方案等进行实施方案策划。</w:t>
            </w:r>
          </w:p>
          <w:p>
            <w:pPr>
              <w:widowControl/>
              <w:spacing w:line="400" w:lineRule="exact"/>
              <w:rPr>
                <w:rFonts w:ascii="宋体" w:hAnsi="宋体" w:cs="宋体"/>
                <w:szCs w:val="21"/>
                <w:highlight w:val="none"/>
              </w:rPr>
            </w:pPr>
            <w:r>
              <w:rPr>
                <w:rFonts w:hint="eastAsia" w:ascii="宋体" w:hAnsi="宋体" w:cs="宋体"/>
                <w:szCs w:val="21"/>
                <w:highlight w:val="none"/>
              </w:rPr>
              <w:t>评分标准：提供以上五个方面内容得3分；提供以上任意四个方面内容得2分；提供以上任意三个方面内容得1分。在此基础上，专家根据各供应商的具体响应内容进行进一步评审，评价为优加5分；评价为良加3分；评价为中加1分；评价为差不加分，如评价为差，专家需书面说明理由。</w:t>
            </w:r>
          </w:p>
          <w:p>
            <w:pPr>
              <w:widowControl/>
              <w:spacing w:line="400" w:lineRule="exact"/>
              <w:rPr>
                <w:rFonts w:ascii="宋体" w:hAnsi="宋体" w:cs="宋体"/>
                <w:szCs w:val="21"/>
                <w:highlight w:val="none"/>
              </w:rPr>
            </w:pPr>
            <w:r>
              <w:rPr>
                <w:rFonts w:hint="eastAsia" w:ascii="宋体" w:hAnsi="宋体" w:cs="宋体"/>
                <w:szCs w:val="21"/>
                <w:highlight w:val="none"/>
              </w:rPr>
              <w:t>累计得分，最高得8分。</w:t>
            </w:r>
          </w:p>
          <w:p>
            <w:pPr>
              <w:widowControl/>
              <w:spacing w:line="400" w:lineRule="exact"/>
              <w:rPr>
                <w:rFonts w:ascii="宋体" w:hAnsi="宋体" w:cs="宋体"/>
                <w:szCs w:val="21"/>
                <w:highlight w:val="none"/>
              </w:rPr>
            </w:pPr>
            <w:r>
              <w:rPr>
                <w:rFonts w:hint="eastAsia" w:ascii="宋体" w:hAnsi="宋体" w:cs="宋体"/>
                <w:szCs w:val="21"/>
                <w:highlight w:val="none"/>
              </w:rPr>
              <w:t>优评分标准：内容全面，针对性和可操作性强。</w:t>
            </w:r>
          </w:p>
          <w:p>
            <w:pPr>
              <w:widowControl/>
              <w:spacing w:line="400" w:lineRule="exact"/>
              <w:rPr>
                <w:rFonts w:ascii="宋体" w:hAnsi="宋体" w:cs="宋体"/>
                <w:szCs w:val="21"/>
                <w:highlight w:val="none"/>
              </w:rPr>
            </w:pPr>
            <w:r>
              <w:rPr>
                <w:rFonts w:hint="eastAsia" w:ascii="宋体" w:hAnsi="宋体" w:cs="宋体"/>
                <w:szCs w:val="21"/>
                <w:highlight w:val="none"/>
              </w:rPr>
              <w:t>良评分标准：内容较全面，针对性和可操作性较强。</w:t>
            </w:r>
          </w:p>
          <w:p>
            <w:pPr>
              <w:widowControl/>
              <w:spacing w:line="400" w:lineRule="exact"/>
              <w:rPr>
                <w:rFonts w:ascii="宋体" w:hAnsi="宋体" w:cs="宋体"/>
                <w:szCs w:val="21"/>
                <w:highlight w:val="none"/>
              </w:rPr>
            </w:pPr>
            <w:r>
              <w:rPr>
                <w:rFonts w:hint="eastAsia" w:ascii="宋体" w:hAnsi="宋体" w:cs="宋体"/>
                <w:szCs w:val="21"/>
                <w:highlight w:val="none"/>
              </w:rPr>
              <w:t>中评分标准：有基本内容，有一定的可操作性。</w:t>
            </w:r>
          </w:p>
          <w:p>
            <w:pPr>
              <w:widowControl/>
              <w:spacing w:line="400" w:lineRule="exact"/>
              <w:rPr>
                <w:rFonts w:ascii="宋体" w:hAnsi="宋体" w:cs="宋体"/>
                <w:szCs w:val="21"/>
                <w:highlight w:val="none"/>
              </w:rPr>
            </w:pPr>
            <w:r>
              <w:rPr>
                <w:rFonts w:hint="eastAsia" w:ascii="宋体" w:hAnsi="宋体" w:cs="宋体"/>
                <w:szCs w:val="21"/>
                <w:highlight w:val="none"/>
              </w:rPr>
              <w:t>差评分标准：内容缺失，缺乏可操作性。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Merge w:val="continue"/>
            <w:vAlign w:val="center"/>
          </w:tcPr>
          <w:p>
            <w:pPr>
              <w:spacing w:line="440" w:lineRule="exact"/>
              <w:jc w:val="center"/>
              <w:outlineLvl w:val="2"/>
              <w:rPr>
                <w:rFonts w:ascii="宋体" w:hAnsi="宋体"/>
                <w:szCs w:val="21"/>
                <w:highlight w:val="none"/>
              </w:rPr>
            </w:pPr>
          </w:p>
        </w:tc>
        <w:tc>
          <w:tcPr>
            <w:tcW w:w="749" w:type="dxa"/>
            <w:vAlign w:val="center"/>
          </w:tcPr>
          <w:p>
            <w:pPr>
              <w:widowControl/>
              <w:spacing w:line="400" w:lineRule="exact"/>
              <w:jc w:val="center"/>
              <w:rPr>
                <w:rFonts w:ascii="宋体" w:hAnsi="宋体" w:cs="宋体"/>
                <w:szCs w:val="21"/>
                <w:highlight w:val="none"/>
              </w:rPr>
            </w:pPr>
            <w:r>
              <w:rPr>
                <w:rFonts w:hint="eastAsia" w:ascii="宋体" w:hAnsi="宋体" w:cs="宋体"/>
                <w:szCs w:val="21"/>
                <w:highlight w:val="none"/>
              </w:rPr>
              <w:t>2</w:t>
            </w:r>
          </w:p>
        </w:tc>
        <w:tc>
          <w:tcPr>
            <w:tcW w:w="1662" w:type="dxa"/>
            <w:vAlign w:val="center"/>
          </w:tcPr>
          <w:p>
            <w:pPr>
              <w:widowControl/>
              <w:spacing w:line="400" w:lineRule="exact"/>
              <w:jc w:val="center"/>
              <w:rPr>
                <w:rFonts w:ascii="宋体" w:hAnsi="宋体" w:cs="宋体"/>
                <w:szCs w:val="21"/>
                <w:highlight w:val="none"/>
              </w:rPr>
            </w:pPr>
            <w:r>
              <w:rPr>
                <w:rFonts w:hint="eastAsia" w:ascii="宋体" w:hAnsi="宋体" w:cs="宋体"/>
                <w:szCs w:val="21"/>
                <w:highlight w:val="none"/>
              </w:rPr>
              <w:t>活动宣传发动</w:t>
            </w:r>
          </w:p>
        </w:tc>
        <w:tc>
          <w:tcPr>
            <w:tcW w:w="679" w:type="dxa"/>
            <w:vAlign w:val="center"/>
          </w:tcPr>
          <w:p>
            <w:pPr>
              <w:widowControl/>
              <w:spacing w:line="400" w:lineRule="exact"/>
              <w:jc w:val="center"/>
              <w:rPr>
                <w:rFonts w:ascii="宋体" w:hAnsi="宋体" w:cs="宋体"/>
                <w:szCs w:val="21"/>
                <w:highlight w:val="none"/>
              </w:rPr>
            </w:pPr>
            <w:r>
              <w:rPr>
                <w:rFonts w:hint="eastAsia" w:ascii="宋体" w:hAnsi="宋体" w:cs="宋体"/>
                <w:szCs w:val="21"/>
                <w:highlight w:val="none"/>
              </w:rPr>
              <w:t>3</w:t>
            </w:r>
          </w:p>
        </w:tc>
        <w:tc>
          <w:tcPr>
            <w:tcW w:w="5413" w:type="dxa"/>
          </w:tcPr>
          <w:p>
            <w:pPr>
              <w:widowControl/>
              <w:spacing w:line="400" w:lineRule="exact"/>
              <w:rPr>
                <w:rFonts w:ascii="宋体" w:hAnsi="宋体" w:cs="宋体"/>
                <w:szCs w:val="21"/>
                <w:highlight w:val="none"/>
              </w:rPr>
            </w:pPr>
            <w:r>
              <w:rPr>
                <w:rFonts w:hint="eastAsia" w:ascii="宋体" w:hAnsi="宋体" w:cs="宋体"/>
                <w:szCs w:val="21"/>
                <w:highlight w:val="none"/>
              </w:rPr>
              <w:t>评审内容：根据本次活动设计宣传海报（电子版），制定音乐会各阶段宣传推广计划。</w:t>
            </w:r>
          </w:p>
          <w:p>
            <w:pPr>
              <w:widowControl/>
              <w:spacing w:line="400" w:lineRule="exact"/>
              <w:rPr>
                <w:rFonts w:ascii="宋体" w:hAnsi="宋体" w:cs="宋体"/>
                <w:szCs w:val="21"/>
                <w:highlight w:val="none"/>
              </w:rPr>
            </w:pPr>
            <w:r>
              <w:rPr>
                <w:rFonts w:hint="eastAsia" w:ascii="宋体" w:hAnsi="宋体" w:cs="宋体"/>
                <w:szCs w:val="21"/>
                <w:highlight w:val="none"/>
              </w:rPr>
              <w:t>评分标准：提供以上内容得1分；在此基础上，专家根据各供应商的具体响应内容进行进一步评审，评价为优加2分；评价为良加1.5分；评价为中加1分；评价为差不加分，如评价为差，专家需书面说明理由。</w:t>
            </w:r>
          </w:p>
          <w:p>
            <w:pPr>
              <w:widowControl/>
              <w:spacing w:line="400" w:lineRule="exact"/>
              <w:rPr>
                <w:rFonts w:ascii="宋体" w:hAnsi="宋体" w:cs="宋体"/>
                <w:szCs w:val="21"/>
                <w:highlight w:val="none"/>
              </w:rPr>
            </w:pPr>
            <w:r>
              <w:rPr>
                <w:rFonts w:hint="eastAsia" w:ascii="宋体" w:hAnsi="宋体" w:cs="宋体"/>
                <w:szCs w:val="21"/>
                <w:highlight w:val="none"/>
              </w:rPr>
              <w:t>累计得分，最高得3分。</w:t>
            </w:r>
          </w:p>
          <w:p>
            <w:pPr>
              <w:widowControl/>
              <w:spacing w:line="400" w:lineRule="exact"/>
              <w:rPr>
                <w:rFonts w:ascii="宋体" w:hAnsi="宋体" w:cs="宋体"/>
                <w:szCs w:val="21"/>
                <w:highlight w:val="none"/>
              </w:rPr>
            </w:pPr>
            <w:r>
              <w:rPr>
                <w:rFonts w:hint="eastAsia" w:ascii="宋体" w:hAnsi="宋体" w:cs="宋体"/>
                <w:szCs w:val="21"/>
                <w:highlight w:val="none"/>
              </w:rPr>
              <w:t>优评分标准：宣传海报相关内容全面，设计风格高雅，宣传推广计划实操性强，能够对营造良好的公益音乐会氛围有积极地推动作用。</w:t>
            </w:r>
          </w:p>
          <w:p>
            <w:pPr>
              <w:widowControl/>
              <w:spacing w:line="400" w:lineRule="exact"/>
              <w:rPr>
                <w:rFonts w:ascii="宋体" w:hAnsi="宋体" w:cs="宋体"/>
                <w:szCs w:val="21"/>
                <w:highlight w:val="none"/>
              </w:rPr>
            </w:pPr>
            <w:r>
              <w:rPr>
                <w:rFonts w:hint="eastAsia" w:ascii="宋体" w:hAnsi="宋体" w:cs="宋体"/>
                <w:szCs w:val="21"/>
                <w:highlight w:val="none"/>
              </w:rPr>
              <w:t>良评分标准：宣传海报相关内容较全面，设计风格符合主题，宣传推广计划实操性较强，能够对营造良好的公益音乐会氛围有积极地推动作用。</w:t>
            </w:r>
          </w:p>
          <w:p>
            <w:pPr>
              <w:widowControl/>
              <w:spacing w:line="400" w:lineRule="exact"/>
              <w:rPr>
                <w:rFonts w:ascii="宋体" w:hAnsi="宋体" w:cs="宋体"/>
                <w:szCs w:val="21"/>
                <w:highlight w:val="none"/>
              </w:rPr>
            </w:pPr>
            <w:r>
              <w:rPr>
                <w:rFonts w:hint="eastAsia" w:ascii="宋体" w:hAnsi="宋体" w:cs="宋体"/>
                <w:szCs w:val="21"/>
                <w:highlight w:val="none"/>
              </w:rPr>
              <w:t>中评分标准：宣传海报有基本内容，设计风格基本符合主题，能够营造较好的公益音乐会氛围。</w:t>
            </w:r>
          </w:p>
          <w:p>
            <w:pPr>
              <w:widowControl/>
              <w:spacing w:line="400" w:lineRule="exact"/>
              <w:rPr>
                <w:rFonts w:ascii="宋体" w:hAnsi="宋体" w:cs="宋体"/>
                <w:szCs w:val="21"/>
                <w:highlight w:val="none"/>
              </w:rPr>
            </w:pPr>
            <w:r>
              <w:rPr>
                <w:rFonts w:hint="eastAsia" w:ascii="宋体" w:hAnsi="宋体" w:cs="宋体"/>
                <w:szCs w:val="21"/>
                <w:highlight w:val="none"/>
              </w:rPr>
              <w:t>差评分标准：宣传海报内容缺失，设计风格不符合主题，不能够营造公益音乐会氛围。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Merge w:val="continue"/>
            <w:vAlign w:val="center"/>
          </w:tcPr>
          <w:p>
            <w:pPr>
              <w:spacing w:line="440" w:lineRule="exact"/>
              <w:jc w:val="center"/>
              <w:rPr>
                <w:rFonts w:ascii="宋体" w:hAnsi="宋体"/>
                <w:szCs w:val="21"/>
                <w:highlight w:val="none"/>
              </w:rPr>
            </w:pPr>
          </w:p>
        </w:tc>
        <w:tc>
          <w:tcPr>
            <w:tcW w:w="749" w:type="dxa"/>
            <w:vAlign w:val="center"/>
          </w:tcPr>
          <w:p>
            <w:pPr>
              <w:widowControl/>
              <w:spacing w:line="400" w:lineRule="exact"/>
              <w:jc w:val="center"/>
              <w:rPr>
                <w:rFonts w:ascii="宋体" w:hAnsi="宋体" w:cs="宋体"/>
                <w:szCs w:val="21"/>
                <w:highlight w:val="none"/>
              </w:rPr>
            </w:pPr>
            <w:r>
              <w:rPr>
                <w:rFonts w:hint="eastAsia" w:ascii="宋体" w:hAnsi="宋体" w:cs="宋体"/>
                <w:szCs w:val="21"/>
                <w:highlight w:val="none"/>
              </w:rPr>
              <w:t>3</w:t>
            </w:r>
          </w:p>
        </w:tc>
        <w:tc>
          <w:tcPr>
            <w:tcW w:w="1662" w:type="dxa"/>
            <w:vAlign w:val="center"/>
          </w:tcPr>
          <w:p>
            <w:pPr>
              <w:widowControl/>
              <w:spacing w:line="400" w:lineRule="exact"/>
              <w:jc w:val="center"/>
              <w:rPr>
                <w:rFonts w:ascii="宋体" w:hAnsi="宋体" w:cs="宋体"/>
                <w:szCs w:val="21"/>
                <w:highlight w:val="none"/>
              </w:rPr>
            </w:pPr>
            <w:r>
              <w:rPr>
                <w:rFonts w:hint="eastAsia" w:ascii="宋体" w:hAnsi="宋体" w:cs="宋体"/>
                <w:szCs w:val="21"/>
                <w:highlight w:val="none"/>
              </w:rPr>
              <w:t>活动组织实施</w:t>
            </w:r>
          </w:p>
        </w:tc>
        <w:tc>
          <w:tcPr>
            <w:tcW w:w="679" w:type="dxa"/>
            <w:vAlign w:val="center"/>
          </w:tcPr>
          <w:p>
            <w:pPr>
              <w:widowControl/>
              <w:spacing w:line="400" w:lineRule="exact"/>
              <w:jc w:val="center"/>
              <w:rPr>
                <w:rFonts w:ascii="宋体" w:hAnsi="宋体" w:cs="宋体"/>
                <w:szCs w:val="21"/>
                <w:highlight w:val="none"/>
              </w:rPr>
            </w:pPr>
            <w:r>
              <w:rPr>
                <w:rFonts w:hint="eastAsia" w:ascii="宋体" w:hAnsi="宋体" w:cs="宋体"/>
                <w:szCs w:val="21"/>
                <w:highlight w:val="none"/>
              </w:rPr>
              <w:t>6</w:t>
            </w:r>
          </w:p>
        </w:tc>
        <w:tc>
          <w:tcPr>
            <w:tcW w:w="5413" w:type="dxa"/>
          </w:tcPr>
          <w:p>
            <w:pPr>
              <w:widowControl/>
              <w:spacing w:line="400" w:lineRule="exact"/>
              <w:rPr>
                <w:rFonts w:ascii="宋体" w:hAnsi="宋体" w:cs="宋体"/>
                <w:szCs w:val="21"/>
                <w:highlight w:val="none"/>
              </w:rPr>
            </w:pPr>
            <w:r>
              <w:rPr>
                <w:rFonts w:hint="eastAsia" w:ascii="宋体" w:hAnsi="宋体" w:cs="宋体"/>
                <w:szCs w:val="21"/>
                <w:highlight w:val="none"/>
              </w:rPr>
              <w:t>评审内容：考察投标人组织策划能力，包括：1、组织活动工作核心团队；2、联合政府直属的职业交响乐团进行演出；3、公益音乐会的场地安排、设备、演出设计印刷、舞台背景、签到墙及指示牌、节目单、场务保障等须符合公益音乐会项目要求；4、</w:t>
            </w:r>
            <w:r>
              <w:rPr>
                <w:rFonts w:hint="eastAsia" w:ascii="宋体" w:hAnsi="宋体" w:cs="宋体"/>
                <w:szCs w:val="21"/>
                <w:highlight w:val="none"/>
                <w:lang w:val="en-US" w:eastAsia="zh-CN"/>
              </w:rPr>
              <w:t>交流茶歇及授荣表彰仪式的场地安排、场景布置、茶歇用品须符合交流茶歇及授荣表彰仪式策划要求</w:t>
            </w:r>
            <w:r>
              <w:rPr>
                <w:rFonts w:hint="eastAsia" w:ascii="宋体" w:hAnsi="宋体" w:cs="宋体"/>
                <w:szCs w:val="21"/>
                <w:highlight w:val="none"/>
              </w:rPr>
              <w:t>；5、制作荣誉牌匾，赠予活动相关支持单位及个人；6、邀请政府、商业和慈善各领域嘉宾参与音乐会。专家根据以上六个方面对投标人所提供的响应文件进行打分。</w:t>
            </w:r>
          </w:p>
          <w:p>
            <w:pPr>
              <w:widowControl/>
              <w:spacing w:line="400" w:lineRule="exact"/>
              <w:rPr>
                <w:rFonts w:ascii="宋体" w:hAnsi="宋体" w:cs="宋体"/>
                <w:szCs w:val="21"/>
                <w:highlight w:val="none"/>
              </w:rPr>
            </w:pPr>
            <w:r>
              <w:rPr>
                <w:rFonts w:hint="eastAsia" w:ascii="宋体" w:hAnsi="宋体" w:cs="宋体"/>
                <w:szCs w:val="21"/>
                <w:highlight w:val="none"/>
              </w:rPr>
              <w:t>评分标准：提供以上六个方面内容得1分，缺少任一方面本小项不得分；在此基础上，专家根据各供应商的具体响应内容进行进一步评审，评价为优加5分；评价为良加3分；评价为中加1分；评价为差不加分，如评价为差，专家需书面说明理由。</w:t>
            </w:r>
          </w:p>
          <w:p>
            <w:pPr>
              <w:widowControl/>
              <w:spacing w:line="400" w:lineRule="exact"/>
              <w:rPr>
                <w:rFonts w:ascii="宋体" w:hAnsi="宋体" w:cs="宋体"/>
                <w:szCs w:val="21"/>
                <w:highlight w:val="none"/>
              </w:rPr>
            </w:pPr>
            <w:r>
              <w:rPr>
                <w:rFonts w:hint="eastAsia" w:ascii="宋体" w:hAnsi="宋体" w:cs="宋体"/>
                <w:szCs w:val="21"/>
                <w:highlight w:val="none"/>
              </w:rPr>
              <w:t>累计得分，最高得6分。</w:t>
            </w:r>
          </w:p>
          <w:p>
            <w:pPr>
              <w:widowControl/>
              <w:spacing w:line="400" w:lineRule="exact"/>
              <w:rPr>
                <w:rFonts w:ascii="宋体" w:hAnsi="宋体" w:cs="宋体"/>
                <w:szCs w:val="21"/>
                <w:highlight w:val="none"/>
              </w:rPr>
            </w:pPr>
            <w:r>
              <w:rPr>
                <w:rFonts w:hint="eastAsia" w:ascii="宋体" w:hAnsi="宋体" w:cs="宋体"/>
                <w:szCs w:val="21"/>
                <w:highlight w:val="none"/>
              </w:rPr>
              <w:t>优评分标准：内容全面，针对性和可操作性强。</w:t>
            </w:r>
          </w:p>
          <w:p>
            <w:pPr>
              <w:widowControl/>
              <w:spacing w:line="400" w:lineRule="exact"/>
              <w:rPr>
                <w:rFonts w:ascii="宋体" w:hAnsi="宋体" w:cs="宋体"/>
                <w:szCs w:val="21"/>
                <w:highlight w:val="none"/>
              </w:rPr>
            </w:pPr>
            <w:r>
              <w:rPr>
                <w:rFonts w:hint="eastAsia" w:ascii="宋体" w:hAnsi="宋体" w:cs="宋体"/>
                <w:szCs w:val="21"/>
                <w:highlight w:val="none"/>
              </w:rPr>
              <w:t>良评分标准：内容较全面，针对性和可操作性较强。</w:t>
            </w:r>
          </w:p>
          <w:p>
            <w:pPr>
              <w:widowControl/>
              <w:spacing w:line="400" w:lineRule="exact"/>
              <w:rPr>
                <w:rFonts w:ascii="宋体" w:hAnsi="宋体" w:cs="宋体"/>
                <w:szCs w:val="21"/>
                <w:highlight w:val="none"/>
              </w:rPr>
            </w:pPr>
            <w:r>
              <w:rPr>
                <w:rFonts w:hint="eastAsia" w:ascii="宋体" w:hAnsi="宋体" w:cs="宋体"/>
                <w:szCs w:val="21"/>
                <w:highlight w:val="none"/>
              </w:rPr>
              <w:t>中评分标准：有基本内容，有一定的可操作性。</w:t>
            </w:r>
          </w:p>
          <w:p>
            <w:pPr>
              <w:widowControl/>
              <w:spacing w:line="400" w:lineRule="exact"/>
              <w:rPr>
                <w:rFonts w:ascii="宋体" w:hAnsi="宋体" w:cs="宋体"/>
                <w:szCs w:val="21"/>
                <w:highlight w:val="none"/>
              </w:rPr>
            </w:pPr>
            <w:r>
              <w:rPr>
                <w:rFonts w:hint="eastAsia" w:ascii="宋体" w:hAnsi="宋体" w:cs="宋体"/>
                <w:szCs w:val="21"/>
                <w:highlight w:val="none"/>
              </w:rPr>
              <w:t>差评分标准：内容缺失，缺乏可操作性。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Merge w:val="continue"/>
            <w:vAlign w:val="center"/>
          </w:tcPr>
          <w:p>
            <w:pPr>
              <w:spacing w:line="440" w:lineRule="exact"/>
              <w:jc w:val="center"/>
              <w:outlineLvl w:val="2"/>
              <w:rPr>
                <w:rFonts w:ascii="宋体" w:hAnsi="宋体"/>
                <w:szCs w:val="21"/>
                <w:highlight w:val="none"/>
              </w:rPr>
            </w:pPr>
          </w:p>
        </w:tc>
        <w:tc>
          <w:tcPr>
            <w:tcW w:w="749" w:type="dxa"/>
            <w:vAlign w:val="center"/>
          </w:tcPr>
          <w:p>
            <w:pPr>
              <w:widowControl/>
              <w:spacing w:line="400" w:lineRule="exact"/>
              <w:jc w:val="center"/>
              <w:rPr>
                <w:rFonts w:ascii="宋体" w:hAnsi="宋体" w:cs="宋体"/>
                <w:szCs w:val="21"/>
                <w:highlight w:val="none"/>
              </w:rPr>
            </w:pPr>
            <w:r>
              <w:rPr>
                <w:rFonts w:hint="eastAsia" w:ascii="宋体" w:hAnsi="宋体" w:cs="宋体"/>
                <w:szCs w:val="21"/>
                <w:highlight w:val="none"/>
              </w:rPr>
              <w:t>4</w:t>
            </w:r>
          </w:p>
        </w:tc>
        <w:tc>
          <w:tcPr>
            <w:tcW w:w="1662" w:type="dxa"/>
            <w:vAlign w:val="center"/>
          </w:tcPr>
          <w:p>
            <w:pPr>
              <w:widowControl/>
              <w:spacing w:line="400" w:lineRule="exact"/>
              <w:jc w:val="center"/>
              <w:rPr>
                <w:rFonts w:ascii="宋体" w:hAnsi="宋体" w:cs="宋体"/>
                <w:szCs w:val="21"/>
                <w:highlight w:val="none"/>
              </w:rPr>
            </w:pPr>
            <w:r>
              <w:rPr>
                <w:rFonts w:hint="eastAsia" w:ascii="宋体" w:hAnsi="宋体" w:cs="宋体"/>
                <w:szCs w:val="21"/>
                <w:highlight w:val="none"/>
              </w:rPr>
              <w:t>活动重要嘉宾邀请</w:t>
            </w:r>
          </w:p>
        </w:tc>
        <w:tc>
          <w:tcPr>
            <w:tcW w:w="679" w:type="dxa"/>
            <w:vAlign w:val="center"/>
          </w:tcPr>
          <w:p>
            <w:pPr>
              <w:widowControl/>
              <w:spacing w:line="400" w:lineRule="exact"/>
              <w:jc w:val="center"/>
              <w:rPr>
                <w:rFonts w:ascii="宋体" w:hAnsi="宋体" w:cs="宋体"/>
                <w:szCs w:val="21"/>
                <w:highlight w:val="none"/>
              </w:rPr>
            </w:pPr>
            <w:r>
              <w:rPr>
                <w:rFonts w:hint="eastAsia" w:ascii="宋体" w:hAnsi="宋体" w:cs="宋体"/>
                <w:szCs w:val="21"/>
                <w:highlight w:val="none"/>
              </w:rPr>
              <w:t>10</w:t>
            </w:r>
          </w:p>
        </w:tc>
        <w:tc>
          <w:tcPr>
            <w:tcW w:w="5413" w:type="dxa"/>
          </w:tcPr>
          <w:p>
            <w:pPr>
              <w:widowControl/>
              <w:spacing w:line="400" w:lineRule="exact"/>
              <w:rPr>
                <w:rFonts w:ascii="宋体" w:hAnsi="宋体" w:cs="宋体"/>
                <w:szCs w:val="21"/>
                <w:highlight w:val="none"/>
              </w:rPr>
            </w:pPr>
            <w:r>
              <w:rPr>
                <w:rFonts w:hint="eastAsia" w:ascii="宋体" w:hAnsi="宋体" w:cs="宋体"/>
                <w:szCs w:val="21"/>
                <w:highlight w:val="none"/>
              </w:rPr>
              <w:t>评审内容：考察投标人对重要嘉宾的邀请组织能力，包括（1）邀请不少于5名知名慈善家参与，知名慈善家标准：累计公益捐赠超过100万元（含100万元），或在资产超过2000万（含2000万）的慈善组织担任副理事长以上职务；（2）需要请不少于5名相关政府部门嘉宾参与，包括市残疾人联合会、市社会组织管理局、市文化广电旅游体育局等相关政府部门嘉宾。专家根据以上两个方面对投标人所提供的响应文件进行打分。</w:t>
            </w:r>
          </w:p>
          <w:p>
            <w:pPr>
              <w:widowControl/>
              <w:spacing w:line="400" w:lineRule="exact"/>
              <w:rPr>
                <w:rFonts w:ascii="宋体" w:hAnsi="宋体" w:cs="宋体"/>
                <w:szCs w:val="21"/>
                <w:highlight w:val="none"/>
              </w:rPr>
            </w:pPr>
            <w:r>
              <w:rPr>
                <w:rFonts w:hint="eastAsia" w:ascii="宋体" w:hAnsi="宋体" w:cs="宋体"/>
                <w:szCs w:val="21"/>
                <w:highlight w:val="none"/>
              </w:rPr>
              <w:t>评分标准：提供以上两个方面内容得3分；提供以上任意一个方面内容得1分。在此基础上，专家根据各供应商的具体响应内容进行进一步评审，评价为优加7分；评价为良加5分；评价为中加3分；评价为差不加分，如评价为差，专家需书面说明理由。</w:t>
            </w:r>
          </w:p>
          <w:p>
            <w:pPr>
              <w:widowControl/>
              <w:spacing w:line="400" w:lineRule="exact"/>
              <w:rPr>
                <w:rFonts w:ascii="宋体" w:hAnsi="宋体" w:cs="宋体"/>
                <w:szCs w:val="21"/>
                <w:highlight w:val="none"/>
              </w:rPr>
            </w:pPr>
            <w:r>
              <w:rPr>
                <w:rFonts w:hint="eastAsia" w:ascii="宋体" w:hAnsi="宋体" w:cs="宋体"/>
                <w:szCs w:val="21"/>
                <w:highlight w:val="none"/>
              </w:rPr>
              <w:t>累计得分，最高得10分。</w:t>
            </w:r>
          </w:p>
          <w:p>
            <w:pPr>
              <w:widowControl/>
              <w:spacing w:line="400" w:lineRule="exact"/>
              <w:rPr>
                <w:rFonts w:ascii="宋体" w:hAnsi="宋体" w:cs="宋体"/>
                <w:szCs w:val="21"/>
                <w:highlight w:val="none"/>
              </w:rPr>
            </w:pPr>
            <w:r>
              <w:rPr>
                <w:rFonts w:hint="eastAsia" w:ascii="宋体" w:hAnsi="宋体" w:cs="宋体"/>
                <w:szCs w:val="21"/>
                <w:highlight w:val="none"/>
              </w:rPr>
              <w:t>优评分标准：嘉宾名单全面，针对性和可操作性强。</w:t>
            </w:r>
          </w:p>
          <w:p>
            <w:pPr>
              <w:widowControl/>
              <w:spacing w:line="400" w:lineRule="exact"/>
              <w:rPr>
                <w:rFonts w:ascii="宋体" w:hAnsi="宋体" w:cs="宋体"/>
                <w:szCs w:val="21"/>
                <w:highlight w:val="none"/>
              </w:rPr>
            </w:pPr>
            <w:r>
              <w:rPr>
                <w:rFonts w:hint="eastAsia" w:ascii="宋体" w:hAnsi="宋体" w:cs="宋体"/>
                <w:szCs w:val="21"/>
                <w:highlight w:val="none"/>
              </w:rPr>
              <w:t>良评分标准：嘉宾名单较全面，针对性和可操作性较强。</w:t>
            </w:r>
          </w:p>
          <w:p>
            <w:pPr>
              <w:widowControl/>
              <w:spacing w:line="400" w:lineRule="exact"/>
              <w:rPr>
                <w:rFonts w:ascii="宋体" w:hAnsi="宋体" w:cs="宋体"/>
                <w:szCs w:val="21"/>
                <w:highlight w:val="none"/>
              </w:rPr>
            </w:pPr>
            <w:r>
              <w:rPr>
                <w:rFonts w:hint="eastAsia" w:ascii="宋体" w:hAnsi="宋体" w:cs="宋体"/>
                <w:szCs w:val="21"/>
                <w:highlight w:val="none"/>
              </w:rPr>
              <w:t>中评分标准：有基本嘉宾名单，有一定的可操作性。</w:t>
            </w:r>
          </w:p>
          <w:p>
            <w:pPr>
              <w:widowControl/>
              <w:spacing w:line="400" w:lineRule="exact"/>
              <w:rPr>
                <w:rFonts w:ascii="宋体" w:hAnsi="宋体" w:cs="宋体"/>
                <w:szCs w:val="21"/>
                <w:highlight w:val="none"/>
              </w:rPr>
            </w:pPr>
            <w:r>
              <w:rPr>
                <w:rFonts w:hint="eastAsia" w:ascii="宋体" w:hAnsi="宋体" w:cs="宋体"/>
                <w:szCs w:val="21"/>
                <w:highlight w:val="none"/>
              </w:rPr>
              <w:t>差评分标准：嘉宾名单缺失，缺乏可操作性。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Merge w:val="continue"/>
            <w:vAlign w:val="center"/>
          </w:tcPr>
          <w:p>
            <w:pPr>
              <w:spacing w:line="440" w:lineRule="exact"/>
              <w:jc w:val="center"/>
              <w:outlineLvl w:val="2"/>
              <w:rPr>
                <w:rFonts w:ascii="宋体" w:hAnsi="宋体"/>
                <w:szCs w:val="21"/>
                <w:highlight w:val="none"/>
              </w:rPr>
            </w:pPr>
          </w:p>
        </w:tc>
        <w:tc>
          <w:tcPr>
            <w:tcW w:w="749" w:type="dxa"/>
            <w:vAlign w:val="center"/>
          </w:tcPr>
          <w:p>
            <w:pPr>
              <w:widowControl/>
              <w:spacing w:line="400" w:lineRule="exact"/>
              <w:jc w:val="center"/>
              <w:rPr>
                <w:rFonts w:ascii="宋体" w:hAnsi="宋体" w:cs="宋体"/>
                <w:szCs w:val="21"/>
                <w:highlight w:val="none"/>
              </w:rPr>
            </w:pPr>
            <w:r>
              <w:rPr>
                <w:rFonts w:hint="eastAsia" w:ascii="宋体" w:hAnsi="宋体" w:cs="宋体"/>
                <w:szCs w:val="21"/>
                <w:highlight w:val="none"/>
              </w:rPr>
              <w:t>5</w:t>
            </w:r>
          </w:p>
        </w:tc>
        <w:tc>
          <w:tcPr>
            <w:tcW w:w="1662" w:type="dxa"/>
            <w:vAlign w:val="center"/>
          </w:tcPr>
          <w:p>
            <w:pPr>
              <w:widowControl/>
              <w:spacing w:line="400" w:lineRule="exact"/>
              <w:jc w:val="center"/>
              <w:rPr>
                <w:rFonts w:ascii="宋体" w:hAnsi="宋体" w:cs="宋体"/>
                <w:szCs w:val="21"/>
                <w:highlight w:val="none"/>
              </w:rPr>
            </w:pPr>
            <w:r>
              <w:rPr>
                <w:rFonts w:hint="eastAsia" w:ascii="宋体" w:hAnsi="宋体" w:cs="宋体"/>
                <w:szCs w:val="21"/>
                <w:highlight w:val="none"/>
              </w:rPr>
              <w:t>活动配套服务</w:t>
            </w:r>
          </w:p>
        </w:tc>
        <w:tc>
          <w:tcPr>
            <w:tcW w:w="679" w:type="dxa"/>
            <w:vAlign w:val="center"/>
          </w:tcPr>
          <w:p>
            <w:pPr>
              <w:widowControl/>
              <w:spacing w:line="400" w:lineRule="exact"/>
              <w:jc w:val="center"/>
              <w:rPr>
                <w:rFonts w:ascii="宋体" w:hAnsi="宋体" w:cs="宋体"/>
                <w:szCs w:val="21"/>
                <w:highlight w:val="none"/>
              </w:rPr>
            </w:pPr>
            <w:r>
              <w:rPr>
                <w:rFonts w:hint="eastAsia" w:ascii="宋体" w:hAnsi="宋体" w:cs="宋体"/>
                <w:szCs w:val="21"/>
                <w:highlight w:val="none"/>
              </w:rPr>
              <w:t>3</w:t>
            </w:r>
          </w:p>
        </w:tc>
        <w:tc>
          <w:tcPr>
            <w:tcW w:w="5413" w:type="dxa"/>
          </w:tcPr>
          <w:p>
            <w:pPr>
              <w:widowControl/>
              <w:spacing w:line="400" w:lineRule="exact"/>
              <w:rPr>
                <w:rFonts w:ascii="宋体" w:hAnsi="宋体" w:cs="宋体"/>
                <w:szCs w:val="21"/>
                <w:highlight w:val="none"/>
              </w:rPr>
            </w:pPr>
            <w:r>
              <w:rPr>
                <w:rFonts w:hint="eastAsia" w:ascii="宋体" w:hAnsi="宋体" w:cs="宋体"/>
                <w:szCs w:val="21"/>
                <w:highlight w:val="none"/>
              </w:rPr>
              <w:t>评审内容：针对本项目制定活动配套计划，包括（1）为进行公益音乐会演出的政府直属职业交响乐团提供后勤保障、乐器运输等音乐会配套服务；（2）在公益音乐会的不同阶段进行视频、照片的拍摄并制作活动视频集锦不少于1份。专家根据以上两个方面对投标人所提供的响应文件进行打分。</w:t>
            </w:r>
          </w:p>
          <w:p>
            <w:pPr>
              <w:widowControl/>
              <w:spacing w:line="400" w:lineRule="exact"/>
              <w:rPr>
                <w:rFonts w:ascii="宋体" w:hAnsi="宋体" w:cs="宋体"/>
                <w:szCs w:val="21"/>
                <w:highlight w:val="none"/>
              </w:rPr>
            </w:pPr>
            <w:r>
              <w:rPr>
                <w:rFonts w:hint="eastAsia" w:ascii="宋体" w:hAnsi="宋体" w:cs="宋体"/>
                <w:szCs w:val="21"/>
                <w:highlight w:val="none"/>
              </w:rPr>
              <w:t>评分标准：提供以两个方面内容得1分，缺少任一方面本小项不得分；在此基础上，专家根据各供应商的具体响应内容进行进一步评审，评价为优加2分；评价为良加1.5分；评价为中加1分；评价为差不加分，如评价为差，专家需书面说明理由。</w:t>
            </w:r>
          </w:p>
          <w:p>
            <w:pPr>
              <w:widowControl/>
              <w:spacing w:line="400" w:lineRule="exact"/>
              <w:rPr>
                <w:rFonts w:ascii="宋体" w:hAnsi="宋体" w:cs="宋体"/>
                <w:szCs w:val="21"/>
                <w:highlight w:val="none"/>
              </w:rPr>
            </w:pPr>
            <w:r>
              <w:rPr>
                <w:rFonts w:hint="eastAsia" w:ascii="宋体" w:hAnsi="宋体" w:cs="宋体"/>
                <w:szCs w:val="21"/>
                <w:highlight w:val="none"/>
              </w:rPr>
              <w:t>累计得分，最高得3分。</w:t>
            </w:r>
          </w:p>
          <w:p>
            <w:pPr>
              <w:widowControl/>
              <w:spacing w:line="400" w:lineRule="exact"/>
              <w:rPr>
                <w:rFonts w:ascii="宋体" w:hAnsi="宋体" w:cs="宋体"/>
                <w:szCs w:val="21"/>
                <w:highlight w:val="none"/>
              </w:rPr>
            </w:pPr>
            <w:r>
              <w:rPr>
                <w:rFonts w:hint="eastAsia" w:ascii="宋体" w:hAnsi="宋体" w:cs="宋体"/>
                <w:szCs w:val="21"/>
                <w:highlight w:val="none"/>
              </w:rPr>
              <w:t>优评分标准：内容全面，保障条件坚实，能实现目标。</w:t>
            </w:r>
          </w:p>
          <w:p>
            <w:pPr>
              <w:widowControl/>
              <w:spacing w:line="400" w:lineRule="exact"/>
              <w:rPr>
                <w:rFonts w:ascii="宋体" w:hAnsi="宋体" w:cs="宋体"/>
                <w:szCs w:val="21"/>
                <w:highlight w:val="none"/>
              </w:rPr>
            </w:pPr>
            <w:r>
              <w:rPr>
                <w:rFonts w:hint="eastAsia" w:ascii="宋体" w:hAnsi="宋体" w:cs="宋体"/>
                <w:szCs w:val="21"/>
                <w:highlight w:val="none"/>
              </w:rPr>
              <w:t>良评分标准：内容较全面，保障条件较强的。</w:t>
            </w:r>
          </w:p>
          <w:p>
            <w:pPr>
              <w:widowControl/>
              <w:spacing w:line="400" w:lineRule="exact"/>
              <w:rPr>
                <w:rFonts w:ascii="宋体" w:hAnsi="宋体" w:cs="宋体"/>
                <w:szCs w:val="21"/>
                <w:highlight w:val="none"/>
              </w:rPr>
            </w:pPr>
            <w:r>
              <w:rPr>
                <w:rFonts w:hint="eastAsia" w:ascii="宋体" w:hAnsi="宋体" w:cs="宋体"/>
                <w:szCs w:val="21"/>
                <w:highlight w:val="none"/>
              </w:rPr>
              <w:t>中评分标准：有基本内容，保障条件较弱。</w:t>
            </w:r>
          </w:p>
          <w:p>
            <w:pPr>
              <w:widowControl/>
              <w:spacing w:line="400" w:lineRule="exact"/>
              <w:rPr>
                <w:rFonts w:ascii="宋体" w:hAnsi="宋体" w:cs="宋体"/>
                <w:szCs w:val="21"/>
                <w:highlight w:val="none"/>
              </w:rPr>
            </w:pPr>
            <w:r>
              <w:rPr>
                <w:rFonts w:hint="eastAsia" w:ascii="宋体" w:hAnsi="宋体" w:cs="宋体"/>
                <w:szCs w:val="21"/>
                <w:highlight w:val="none"/>
              </w:rPr>
              <w:t>差评分标准：内容缺失，缺乏保障条件的。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Align w:val="center"/>
          </w:tcPr>
          <w:p>
            <w:pPr>
              <w:spacing w:line="440" w:lineRule="exact"/>
              <w:jc w:val="center"/>
              <w:rPr>
                <w:rFonts w:ascii="宋体" w:hAnsi="宋体"/>
                <w:b/>
                <w:szCs w:val="21"/>
                <w:highlight w:val="none"/>
              </w:rPr>
            </w:pPr>
            <w:r>
              <w:rPr>
                <w:rFonts w:ascii="宋体" w:hAnsi="宋体"/>
                <w:b/>
                <w:szCs w:val="21"/>
                <w:highlight w:val="none"/>
              </w:rPr>
              <w:t>3</w:t>
            </w:r>
          </w:p>
        </w:tc>
        <w:tc>
          <w:tcPr>
            <w:tcW w:w="3090" w:type="dxa"/>
            <w:gridSpan w:val="3"/>
            <w:vAlign w:val="center"/>
          </w:tcPr>
          <w:p>
            <w:pPr>
              <w:spacing w:line="440" w:lineRule="exact"/>
              <w:jc w:val="center"/>
              <w:rPr>
                <w:rFonts w:ascii="宋体" w:hAnsi="宋体"/>
                <w:b/>
                <w:szCs w:val="21"/>
                <w:highlight w:val="none"/>
              </w:rPr>
            </w:pPr>
            <w:r>
              <w:rPr>
                <w:rFonts w:hint="eastAsia" w:ascii="宋体" w:hAnsi="宋体"/>
                <w:b/>
                <w:szCs w:val="21"/>
                <w:highlight w:val="none"/>
              </w:rPr>
              <w:t>商务部分</w:t>
            </w:r>
          </w:p>
        </w:tc>
        <w:tc>
          <w:tcPr>
            <w:tcW w:w="5413" w:type="dxa"/>
            <w:vAlign w:val="center"/>
          </w:tcPr>
          <w:p>
            <w:pPr>
              <w:spacing w:line="440" w:lineRule="exact"/>
              <w:jc w:val="center"/>
              <w:rPr>
                <w:rFonts w:ascii="宋体" w:hAnsi="宋体" w:cs="宋体"/>
                <w:b/>
                <w:szCs w:val="21"/>
                <w:highlight w:val="none"/>
              </w:rPr>
            </w:pPr>
            <w:r>
              <w:rPr>
                <w:rFonts w:hint="eastAsia" w:ascii="宋体" w:hAnsi="宋体" w:cs="宋体"/>
                <w:b/>
                <w:szCs w:val="21"/>
                <w:highlight w:val="none"/>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Merge w:val="restart"/>
            <w:vAlign w:val="center"/>
          </w:tcPr>
          <w:p>
            <w:pPr>
              <w:spacing w:line="440" w:lineRule="exact"/>
              <w:jc w:val="center"/>
              <w:outlineLvl w:val="0"/>
              <w:rPr>
                <w:rFonts w:ascii="宋体" w:hAnsi="宋体"/>
                <w:szCs w:val="21"/>
                <w:highlight w:val="none"/>
              </w:rPr>
            </w:pPr>
          </w:p>
        </w:tc>
        <w:tc>
          <w:tcPr>
            <w:tcW w:w="749" w:type="dxa"/>
            <w:vAlign w:val="center"/>
          </w:tcPr>
          <w:p>
            <w:pPr>
              <w:spacing w:line="440" w:lineRule="exact"/>
              <w:jc w:val="center"/>
              <w:rPr>
                <w:rFonts w:ascii="宋体" w:hAnsi="宋体"/>
                <w:b/>
                <w:szCs w:val="21"/>
                <w:highlight w:val="none"/>
              </w:rPr>
            </w:pPr>
            <w:r>
              <w:rPr>
                <w:rFonts w:hint="eastAsia" w:ascii="宋体" w:hAnsi="宋体"/>
                <w:b/>
                <w:szCs w:val="21"/>
                <w:highlight w:val="none"/>
              </w:rPr>
              <w:t>序号</w:t>
            </w:r>
          </w:p>
        </w:tc>
        <w:tc>
          <w:tcPr>
            <w:tcW w:w="1662" w:type="dxa"/>
            <w:vAlign w:val="center"/>
          </w:tcPr>
          <w:p>
            <w:pPr>
              <w:spacing w:line="440" w:lineRule="exact"/>
              <w:jc w:val="center"/>
              <w:rPr>
                <w:rFonts w:ascii="宋体" w:hAnsi="宋体"/>
                <w:b/>
                <w:szCs w:val="21"/>
                <w:highlight w:val="none"/>
              </w:rPr>
            </w:pPr>
            <w:r>
              <w:rPr>
                <w:rFonts w:hint="eastAsia" w:ascii="宋体" w:hAnsi="宋体"/>
                <w:b/>
                <w:szCs w:val="21"/>
                <w:highlight w:val="none"/>
              </w:rPr>
              <w:t>评分因素</w:t>
            </w:r>
          </w:p>
        </w:tc>
        <w:tc>
          <w:tcPr>
            <w:tcW w:w="679" w:type="dxa"/>
            <w:vAlign w:val="center"/>
          </w:tcPr>
          <w:p>
            <w:pPr>
              <w:spacing w:line="440" w:lineRule="exact"/>
              <w:jc w:val="center"/>
              <w:rPr>
                <w:rFonts w:ascii="宋体" w:hAnsi="宋体"/>
                <w:b/>
                <w:szCs w:val="21"/>
                <w:highlight w:val="none"/>
              </w:rPr>
            </w:pPr>
            <w:r>
              <w:rPr>
                <w:rFonts w:hint="eastAsia" w:ascii="宋体" w:hAnsi="宋体"/>
                <w:b/>
                <w:szCs w:val="21"/>
                <w:highlight w:val="none"/>
              </w:rPr>
              <w:t>权重</w:t>
            </w:r>
          </w:p>
        </w:tc>
        <w:tc>
          <w:tcPr>
            <w:tcW w:w="5413" w:type="dxa"/>
            <w:vAlign w:val="center"/>
          </w:tcPr>
          <w:p>
            <w:pPr>
              <w:spacing w:line="440" w:lineRule="exact"/>
              <w:jc w:val="center"/>
              <w:rPr>
                <w:rFonts w:ascii="宋体" w:hAnsi="宋体"/>
                <w:b/>
                <w:szCs w:val="21"/>
                <w:highlight w:val="none"/>
              </w:rPr>
            </w:pPr>
            <w:r>
              <w:rPr>
                <w:rFonts w:hint="eastAsia" w:ascii="宋体" w:hAnsi="宋体"/>
                <w:b/>
                <w:szCs w:val="21"/>
                <w:highlight w:val="none"/>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Merge w:val="continue"/>
            <w:vAlign w:val="center"/>
          </w:tcPr>
          <w:p>
            <w:pPr>
              <w:spacing w:line="440" w:lineRule="exact"/>
              <w:jc w:val="center"/>
              <w:outlineLvl w:val="0"/>
              <w:rPr>
                <w:rFonts w:ascii="宋体" w:hAnsi="宋体"/>
                <w:szCs w:val="21"/>
                <w:highlight w:val="none"/>
              </w:rPr>
            </w:pPr>
          </w:p>
        </w:tc>
        <w:tc>
          <w:tcPr>
            <w:tcW w:w="749" w:type="dxa"/>
            <w:vAlign w:val="center"/>
          </w:tcPr>
          <w:p>
            <w:pPr>
              <w:spacing w:line="440" w:lineRule="exact"/>
              <w:jc w:val="center"/>
              <w:rPr>
                <w:rFonts w:ascii="宋体" w:hAnsi="宋体"/>
                <w:szCs w:val="21"/>
                <w:highlight w:val="none"/>
              </w:rPr>
            </w:pPr>
            <w:r>
              <w:rPr>
                <w:rFonts w:ascii="宋体" w:hAnsi="宋体"/>
                <w:szCs w:val="21"/>
                <w:highlight w:val="none"/>
              </w:rPr>
              <w:t>1</w:t>
            </w:r>
          </w:p>
        </w:tc>
        <w:tc>
          <w:tcPr>
            <w:tcW w:w="1662" w:type="dxa"/>
            <w:vAlign w:val="center"/>
          </w:tcPr>
          <w:p>
            <w:pPr>
              <w:spacing w:line="400" w:lineRule="exact"/>
              <w:jc w:val="center"/>
              <w:rPr>
                <w:rFonts w:ascii="宋体" w:hAnsi="宋体" w:cs="宋体"/>
                <w:szCs w:val="21"/>
                <w:highlight w:val="none"/>
              </w:rPr>
            </w:pPr>
            <w:r>
              <w:rPr>
                <w:rFonts w:hint="eastAsia" w:ascii="宋体" w:hAnsi="宋体" w:cs="宋体"/>
                <w:bCs/>
                <w:szCs w:val="21"/>
                <w:highlight w:val="none"/>
              </w:rPr>
              <w:t>投标人近三年相关业绩</w:t>
            </w:r>
          </w:p>
        </w:tc>
        <w:tc>
          <w:tcPr>
            <w:tcW w:w="679" w:type="dxa"/>
            <w:vAlign w:val="center"/>
          </w:tcPr>
          <w:p>
            <w:pPr>
              <w:spacing w:line="400" w:lineRule="exact"/>
              <w:jc w:val="center"/>
              <w:rPr>
                <w:rFonts w:ascii="宋体" w:hAnsi="宋体" w:cs="宋体"/>
                <w:szCs w:val="21"/>
                <w:highlight w:val="none"/>
              </w:rPr>
            </w:pPr>
            <w:r>
              <w:rPr>
                <w:rFonts w:hint="eastAsia" w:ascii="宋体" w:hAnsi="宋体" w:cs="宋体"/>
                <w:szCs w:val="21"/>
                <w:highlight w:val="none"/>
              </w:rPr>
              <w:t>15</w:t>
            </w:r>
          </w:p>
        </w:tc>
        <w:tc>
          <w:tcPr>
            <w:tcW w:w="5413" w:type="dxa"/>
            <w:vAlign w:val="center"/>
          </w:tcPr>
          <w:p>
            <w:pPr>
              <w:spacing w:line="400" w:lineRule="exact"/>
              <w:jc w:val="left"/>
              <w:rPr>
                <w:rFonts w:ascii="宋体" w:hAnsi="宋体" w:cs="宋体"/>
                <w:szCs w:val="21"/>
                <w:highlight w:val="none"/>
              </w:rPr>
            </w:pPr>
            <w:r>
              <w:rPr>
                <w:rFonts w:hint="eastAsia" w:ascii="宋体" w:hAnsi="宋体" w:cs="宋体"/>
                <w:b/>
                <w:szCs w:val="21"/>
                <w:highlight w:val="none"/>
              </w:rPr>
              <w:t>评审内容</w:t>
            </w:r>
            <w:r>
              <w:rPr>
                <w:rFonts w:hint="eastAsia" w:ascii="宋体" w:hAnsi="宋体" w:cs="宋体"/>
                <w:szCs w:val="21"/>
                <w:highlight w:val="none"/>
              </w:rPr>
              <w:t>：</w:t>
            </w:r>
          </w:p>
          <w:p>
            <w:pPr>
              <w:widowControl/>
              <w:spacing w:line="400" w:lineRule="exact"/>
              <w:rPr>
                <w:rFonts w:ascii="宋体" w:hAnsi="宋体" w:cs="宋体"/>
                <w:szCs w:val="21"/>
                <w:highlight w:val="none"/>
              </w:rPr>
            </w:pPr>
            <w:r>
              <w:rPr>
                <w:rFonts w:hint="eastAsia" w:ascii="宋体" w:hAnsi="宋体" w:cs="宋体"/>
                <w:bCs/>
                <w:szCs w:val="21"/>
                <w:highlight w:val="none"/>
              </w:rPr>
              <w:t>投标人</w:t>
            </w:r>
            <w:r>
              <w:rPr>
                <w:rFonts w:hint="eastAsia" w:ascii="宋体" w:hAnsi="宋体" w:cs="宋体"/>
                <w:szCs w:val="21"/>
                <w:highlight w:val="none"/>
              </w:rPr>
              <w:t>近三年（2021年1月1日至投标截止日前，具体以合同签订时间为准）来有：主办、协办由政府直属的职业交响乐团演出的公益音乐会的经验，1场音乐会得5分，最高分15分。</w:t>
            </w:r>
          </w:p>
          <w:p>
            <w:pPr>
              <w:widowControl/>
              <w:spacing w:line="400" w:lineRule="exact"/>
              <w:rPr>
                <w:rFonts w:ascii="宋体" w:hAnsi="宋体" w:cs="宋体"/>
                <w:szCs w:val="21"/>
                <w:highlight w:val="none"/>
              </w:rPr>
            </w:pPr>
            <w:r>
              <w:rPr>
                <w:rFonts w:hint="eastAsia" w:ascii="宋体" w:hAnsi="宋体" w:cs="宋体"/>
                <w:b/>
                <w:bCs/>
                <w:szCs w:val="21"/>
                <w:highlight w:val="none"/>
              </w:rPr>
              <w:t>证明材料：</w:t>
            </w:r>
          </w:p>
          <w:p>
            <w:pPr>
              <w:autoSpaceDE w:val="0"/>
              <w:autoSpaceDN w:val="0"/>
              <w:spacing w:line="400" w:lineRule="exact"/>
              <w:rPr>
                <w:rFonts w:ascii="宋体" w:hAnsi="宋体"/>
                <w:szCs w:val="21"/>
                <w:highlight w:val="none"/>
              </w:rPr>
            </w:pPr>
            <w:r>
              <w:rPr>
                <w:rFonts w:hint="eastAsia" w:ascii="宋体" w:hAnsi="宋体" w:cs="宋体"/>
                <w:kern w:val="0"/>
                <w:szCs w:val="21"/>
                <w:highlight w:val="none"/>
              </w:rPr>
              <w:t>请提供合同关键页、项目报告、媒体报道（通过三种证明</w:t>
            </w:r>
            <w:r>
              <w:rPr>
                <w:rFonts w:hint="eastAsia" w:ascii="宋体" w:hAnsi="宋体"/>
                <w:szCs w:val="21"/>
                <w:highlight w:val="none"/>
              </w:rPr>
              <w:t>材料无法判断是否得分的，同时提供能证明得分的其它证明资料）复印件。评分中出现无证明资料或专家无法凭所提供资料判断是否得分的情况，一律作不得分处理。</w:t>
            </w:r>
          </w:p>
          <w:p>
            <w:pPr>
              <w:autoSpaceDE w:val="0"/>
              <w:autoSpaceDN w:val="0"/>
              <w:spacing w:line="400" w:lineRule="exact"/>
              <w:rPr>
                <w:rFonts w:ascii="宋体" w:hAnsi="宋体"/>
                <w:szCs w:val="21"/>
                <w:highlight w:val="none"/>
              </w:rPr>
            </w:pPr>
            <w:r>
              <w:rPr>
                <w:rFonts w:hint="eastAsia" w:ascii="宋体" w:hAnsi="宋体"/>
                <w:szCs w:val="21"/>
                <w:highlight w:val="none"/>
              </w:rPr>
              <w:t>注：</w:t>
            </w:r>
            <w:r>
              <w:rPr>
                <w:rFonts w:hint="eastAsia" w:ascii="宋体" w:hAnsi="宋体" w:cs="宋体"/>
                <w:szCs w:val="21"/>
                <w:highlight w:val="none"/>
              </w:rPr>
              <w:t>政府直属的</w:t>
            </w:r>
            <w:r>
              <w:rPr>
                <w:rFonts w:hint="eastAsia" w:ascii="宋体" w:hAnsi="宋体"/>
                <w:szCs w:val="21"/>
                <w:highlight w:val="none"/>
              </w:rPr>
              <w:t>职业交响乐团:</w:t>
            </w:r>
          </w:p>
          <w:p>
            <w:pPr>
              <w:spacing w:line="400" w:lineRule="exact"/>
              <w:rPr>
                <w:highlight w:val="none"/>
              </w:rPr>
            </w:pPr>
            <w:r>
              <w:rPr>
                <w:rFonts w:hint="eastAsia"/>
                <w:highlight w:val="none"/>
              </w:rPr>
              <w:t>①</w:t>
            </w:r>
            <w:r>
              <w:rPr>
                <w:highlight w:val="none"/>
              </w:rPr>
              <w:t>连续已累计15个以上音乐季，音乐季的标准：提前一年及以上规划下一年整年演出安排，并进行系统成册宣传。</w:t>
            </w:r>
          </w:p>
          <w:p>
            <w:pPr>
              <w:spacing w:line="400" w:lineRule="exact"/>
              <w:rPr>
                <w:highlight w:val="none"/>
              </w:rPr>
            </w:pPr>
            <w:r>
              <w:rPr>
                <w:rFonts w:hint="eastAsia"/>
                <w:highlight w:val="none"/>
              </w:rPr>
              <w:t>②</w:t>
            </w:r>
            <w:r>
              <w:rPr>
                <w:highlight w:val="none"/>
              </w:rPr>
              <w:t>主导创作大型交响曲（或交响套曲、交响合唱等）5部及以上。</w:t>
            </w:r>
          </w:p>
          <w:p>
            <w:pPr>
              <w:spacing w:line="400" w:lineRule="exact"/>
              <w:rPr>
                <w:rFonts w:ascii="宋体" w:hAnsi="宋体" w:cs="宋体"/>
                <w:bCs/>
                <w:szCs w:val="21"/>
                <w:highlight w:val="none"/>
              </w:rPr>
            </w:pPr>
            <w:r>
              <w:rPr>
                <w:rFonts w:hint="eastAsia"/>
                <w:highlight w:val="none"/>
              </w:rPr>
              <w:t>③</w:t>
            </w:r>
            <w:r>
              <w:rPr>
                <w:highlight w:val="none"/>
              </w:rPr>
              <w:t>全职演职人员150人及以上。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Merge w:val="continue"/>
            <w:vAlign w:val="center"/>
          </w:tcPr>
          <w:p>
            <w:pPr>
              <w:spacing w:line="440" w:lineRule="exact"/>
              <w:jc w:val="center"/>
              <w:outlineLvl w:val="2"/>
              <w:rPr>
                <w:rFonts w:ascii="宋体" w:hAnsi="宋体"/>
                <w:szCs w:val="21"/>
                <w:highlight w:val="none"/>
              </w:rPr>
            </w:pPr>
          </w:p>
        </w:tc>
        <w:tc>
          <w:tcPr>
            <w:tcW w:w="749" w:type="dxa"/>
            <w:vAlign w:val="center"/>
          </w:tcPr>
          <w:p>
            <w:pPr>
              <w:spacing w:line="440" w:lineRule="exact"/>
              <w:jc w:val="center"/>
              <w:rPr>
                <w:rFonts w:ascii="宋体" w:hAnsi="宋体"/>
                <w:szCs w:val="21"/>
                <w:highlight w:val="none"/>
              </w:rPr>
            </w:pPr>
            <w:r>
              <w:rPr>
                <w:rFonts w:ascii="宋体" w:hAnsi="宋体"/>
                <w:szCs w:val="21"/>
                <w:highlight w:val="none"/>
              </w:rPr>
              <w:t>2</w:t>
            </w:r>
          </w:p>
        </w:tc>
        <w:tc>
          <w:tcPr>
            <w:tcW w:w="1662" w:type="dxa"/>
            <w:vAlign w:val="center"/>
          </w:tcPr>
          <w:p>
            <w:pPr>
              <w:spacing w:line="400" w:lineRule="exact"/>
              <w:jc w:val="center"/>
              <w:rPr>
                <w:rFonts w:ascii="宋体" w:hAnsi="宋体" w:cs="宋体"/>
                <w:szCs w:val="21"/>
                <w:highlight w:val="none"/>
              </w:rPr>
            </w:pPr>
            <w:r>
              <w:rPr>
                <w:rFonts w:hint="eastAsia" w:ascii="宋体" w:hAnsi="宋体" w:cs="宋体"/>
                <w:bCs/>
                <w:szCs w:val="21"/>
                <w:highlight w:val="none"/>
              </w:rPr>
              <w:t>拟派本项目负责人（1人）</w:t>
            </w:r>
          </w:p>
        </w:tc>
        <w:tc>
          <w:tcPr>
            <w:tcW w:w="679" w:type="dxa"/>
            <w:vAlign w:val="center"/>
          </w:tcPr>
          <w:p>
            <w:pPr>
              <w:spacing w:line="400" w:lineRule="exact"/>
              <w:jc w:val="center"/>
              <w:rPr>
                <w:rFonts w:ascii="宋体" w:hAnsi="宋体" w:cs="宋体"/>
                <w:szCs w:val="21"/>
                <w:highlight w:val="none"/>
              </w:rPr>
            </w:pPr>
            <w:r>
              <w:rPr>
                <w:rFonts w:hint="eastAsia" w:ascii="宋体" w:hAnsi="宋体" w:cs="宋体"/>
                <w:szCs w:val="21"/>
                <w:highlight w:val="none"/>
              </w:rPr>
              <w:t>12</w:t>
            </w:r>
          </w:p>
        </w:tc>
        <w:tc>
          <w:tcPr>
            <w:tcW w:w="5413" w:type="dxa"/>
            <w:vAlign w:val="center"/>
          </w:tcPr>
          <w:p>
            <w:pPr>
              <w:widowControl/>
              <w:spacing w:line="400" w:lineRule="exact"/>
              <w:rPr>
                <w:rFonts w:ascii="宋体" w:hAnsi="宋体" w:cs="宋体"/>
                <w:b/>
                <w:szCs w:val="21"/>
                <w:highlight w:val="none"/>
              </w:rPr>
            </w:pPr>
            <w:r>
              <w:rPr>
                <w:rFonts w:hint="eastAsia" w:ascii="宋体" w:hAnsi="宋体" w:cs="宋体"/>
                <w:b/>
                <w:szCs w:val="21"/>
                <w:highlight w:val="none"/>
              </w:rPr>
              <w:t>评审内容：</w:t>
            </w:r>
          </w:p>
          <w:p>
            <w:pPr>
              <w:autoSpaceDE w:val="0"/>
              <w:autoSpaceDN w:val="0"/>
              <w:spacing w:line="400" w:lineRule="exact"/>
              <w:rPr>
                <w:rFonts w:ascii="宋体" w:hAnsi="宋体"/>
                <w:szCs w:val="21"/>
                <w:highlight w:val="none"/>
              </w:rPr>
            </w:pPr>
            <w:r>
              <w:rPr>
                <w:rFonts w:hint="eastAsia" w:ascii="宋体" w:hAnsi="宋体"/>
                <w:szCs w:val="21"/>
                <w:highlight w:val="none"/>
              </w:rPr>
              <w:t>（1）有与政府直属的职业交响乐团开展公益音乐会的活动组织和策划经验，得4分。</w:t>
            </w:r>
          </w:p>
          <w:p>
            <w:pPr>
              <w:widowControl/>
              <w:spacing w:line="400" w:lineRule="exact"/>
              <w:rPr>
                <w:rFonts w:ascii="宋体" w:hAnsi="宋体"/>
                <w:szCs w:val="21"/>
                <w:highlight w:val="none"/>
              </w:rPr>
            </w:pPr>
            <w:r>
              <w:rPr>
                <w:rFonts w:hint="eastAsia" w:ascii="宋体" w:hAnsi="宋体"/>
                <w:szCs w:val="21"/>
                <w:highlight w:val="none"/>
              </w:rPr>
              <w:t>（2）具有慈善组织负责人从业经验，担任5A（含5A）以上慈善组织负责人得6分</w:t>
            </w:r>
            <w:r>
              <w:rPr>
                <w:rFonts w:hint="eastAsia" w:ascii="宋体" w:hAnsi="宋体" w:cs="宋体"/>
                <w:szCs w:val="21"/>
                <w:highlight w:val="none"/>
              </w:rPr>
              <w:t>，4A得4分，3A及以下2分。</w:t>
            </w:r>
          </w:p>
          <w:p>
            <w:pPr>
              <w:autoSpaceDE w:val="0"/>
              <w:autoSpaceDN w:val="0"/>
              <w:spacing w:line="400" w:lineRule="exact"/>
              <w:rPr>
                <w:rFonts w:ascii="宋体" w:hAnsi="宋体" w:cs="宋体"/>
                <w:szCs w:val="21"/>
                <w:highlight w:val="none"/>
              </w:rPr>
            </w:pPr>
            <w:r>
              <w:rPr>
                <w:rFonts w:hint="eastAsia" w:ascii="宋体" w:hAnsi="宋体"/>
                <w:szCs w:val="21"/>
                <w:highlight w:val="none"/>
              </w:rPr>
              <w:t>（3）项目负责人学历，硕士研究生及以上学历得2分，本科及以下学历得1分。</w:t>
            </w:r>
          </w:p>
          <w:p>
            <w:pPr>
              <w:widowControl/>
              <w:spacing w:line="400" w:lineRule="exact"/>
              <w:rPr>
                <w:rFonts w:ascii="宋体" w:hAnsi="宋体" w:cs="宋体"/>
                <w:b/>
                <w:bCs/>
                <w:szCs w:val="21"/>
                <w:highlight w:val="none"/>
              </w:rPr>
            </w:pPr>
            <w:r>
              <w:rPr>
                <w:rFonts w:hint="eastAsia" w:ascii="宋体" w:hAnsi="宋体" w:cs="宋体"/>
                <w:b/>
                <w:bCs/>
                <w:szCs w:val="21"/>
                <w:highlight w:val="none"/>
              </w:rPr>
              <w:t>证明材料：</w:t>
            </w:r>
          </w:p>
          <w:p>
            <w:pPr>
              <w:widowControl/>
              <w:spacing w:line="400" w:lineRule="exact"/>
              <w:rPr>
                <w:rFonts w:ascii="宋体" w:hAnsi="宋体" w:cs="宋体"/>
                <w:szCs w:val="21"/>
                <w:highlight w:val="none"/>
              </w:rPr>
            </w:pPr>
            <w:r>
              <w:rPr>
                <w:rFonts w:hint="eastAsia" w:ascii="宋体" w:hAnsi="宋体" w:cs="宋体"/>
                <w:szCs w:val="21"/>
                <w:highlight w:val="none"/>
              </w:rPr>
              <w:t>（1）提供</w:t>
            </w:r>
            <w:r>
              <w:rPr>
                <w:rFonts w:hint="eastAsia" w:ascii="宋体" w:hAnsi="宋体" w:cs="宋体"/>
                <w:bCs/>
                <w:szCs w:val="21"/>
                <w:highlight w:val="none"/>
              </w:rPr>
              <w:t>项目负责人</w:t>
            </w:r>
            <w:r>
              <w:rPr>
                <w:rFonts w:hint="eastAsia" w:ascii="宋体" w:hAnsi="宋体" w:cs="宋体"/>
                <w:szCs w:val="21"/>
                <w:highlight w:val="none"/>
              </w:rPr>
              <w:t>为投标人成员的相关证明材料（劳动合同或聘书或登记机关备案表）作为得分前提，否则此项不得分。</w:t>
            </w:r>
          </w:p>
          <w:p>
            <w:pPr>
              <w:widowControl/>
              <w:spacing w:line="400" w:lineRule="exact"/>
              <w:rPr>
                <w:highlight w:val="none"/>
              </w:rPr>
            </w:pPr>
            <w:r>
              <w:rPr>
                <w:rFonts w:hint="eastAsia" w:ascii="宋体" w:hAnsi="宋体" w:cs="宋体"/>
                <w:szCs w:val="21"/>
                <w:highlight w:val="none"/>
              </w:rPr>
              <w:t>（2）评审项（1）提供经验证明（需提供参与过的项目合同或媒体报道等</w:t>
            </w:r>
            <w:r>
              <w:rPr>
                <w:rFonts w:hint="eastAsia"/>
                <w:szCs w:val="21"/>
                <w:highlight w:val="none"/>
              </w:rPr>
              <w:t>其他证明文件</w:t>
            </w:r>
            <w:r>
              <w:rPr>
                <w:rFonts w:hint="eastAsia" w:ascii="宋体" w:hAnsi="宋体" w:cs="宋体"/>
                <w:szCs w:val="21"/>
                <w:highlight w:val="none"/>
              </w:rPr>
              <w:t>）作为得分依据，证明文件中需体现人员信息。未提供或无法体现不得分。</w:t>
            </w:r>
          </w:p>
          <w:p>
            <w:pPr>
              <w:widowControl/>
              <w:spacing w:line="400" w:lineRule="exact"/>
              <w:rPr>
                <w:rFonts w:ascii="宋体" w:hAnsi="宋体" w:cs="宋体"/>
                <w:szCs w:val="21"/>
                <w:highlight w:val="none"/>
              </w:rPr>
            </w:pPr>
            <w:r>
              <w:rPr>
                <w:rFonts w:hint="eastAsia" w:ascii="宋体" w:hAnsi="宋体" w:cs="宋体"/>
                <w:szCs w:val="21"/>
                <w:highlight w:val="none"/>
              </w:rPr>
              <w:t>（3）评审项（2）提供慈善组织负责人的证明材料（例如登记管理机构备案材料）；同时提供相应慈善组织的营业执照、社会组织等级评估证明复印件作为得分依据，未提供不得分；</w:t>
            </w:r>
          </w:p>
          <w:p>
            <w:pPr>
              <w:widowControl/>
              <w:spacing w:line="400" w:lineRule="exact"/>
              <w:rPr>
                <w:rFonts w:ascii="宋体" w:hAnsi="宋体" w:cs="宋体"/>
                <w:szCs w:val="21"/>
                <w:highlight w:val="none"/>
              </w:rPr>
            </w:pPr>
            <w:r>
              <w:rPr>
                <w:rFonts w:hint="eastAsia" w:ascii="宋体" w:hAnsi="宋体" w:cs="宋体"/>
                <w:szCs w:val="21"/>
                <w:highlight w:val="none"/>
              </w:rPr>
              <w:t>（4）评审项（3）提供学历证书</w:t>
            </w:r>
            <w:r>
              <w:rPr>
                <w:rFonts w:hint="eastAsia" w:ascii="宋体" w:hAnsi="宋体"/>
                <w:bCs/>
                <w:szCs w:val="21"/>
                <w:highlight w:val="none"/>
              </w:rPr>
              <w:t>（非国内学历</w:t>
            </w:r>
            <w:r>
              <w:rPr>
                <w:rFonts w:hint="eastAsia" w:ascii="宋体" w:hAnsi="宋体" w:cs="宋体"/>
                <w:highlight w:val="none"/>
              </w:rPr>
              <w:t>应当提供教育部留学服务中心出具的国外学历学位认证证书</w:t>
            </w:r>
            <w:r>
              <w:rPr>
                <w:rFonts w:hint="eastAsia" w:ascii="宋体" w:hAnsi="宋体"/>
                <w:bCs/>
                <w:szCs w:val="21"/>
                <w:highlight w:val="none"/>
              </w:rPr>
              <w:t>）作为得分依据，证明文件中需体现人员信息。未提供或无法体现不得分</w:t>
            </w:r>
            <w:r>
              <w:rPr>
                <w:rFonts w:hint="eastAsia" w:ascii="宋体" w:hAnsi="宋体" w:cs="宋体"/>
                <w:szCs w:val="21"/>
                <w:highlight w:val="none"/>
              </w:rPr>
              <w:t>；</w:t>
            </w:r>
          </w:p>
          <w:p>
            <w:pPr>
              <w:autoSpaceDE w:val="0"/>
              <w:autoSpaceDN w:val="0"/>
              <w:spacing w:line="400" w:lineRule="exact"/>
              <w:rPr>
                <w:rFonts w:ascii="宋体" w:hAnsi="宋体" w:cs="宋体"/>
                <w:szCs w:val="21"/>
                <w:highlight w:val="none"/>
              </w:rPr>
            </w:pPr>
            <w:r>
              <w:rPr>
                <w:rFonts w:hint="eastAsia" w:ascii="宋体" w:hAnsi="宋体" w:cs="宋体"/>
                <w:szCs w:val="21"/>
                <w:highlight w:val="none"/>
              </w:rPr>
              <w:t>（4）以上证明材料均须提供复印件，评分中出现无证明资料或专家无法凭所提供资料判断是否得分的情况，一律作不得分处理。</w:t>
            </w:r>
          </w:p>
          <w:p>
            <w:pPr>
              <w:autoSpaceDE w:val="0"/>
              <w:autoSpaceDN w:val="0"/>
              <w:spacing w:line="400" w:lineRule="exact"/>
              <w:rPr>
                <w:rFonts w:ascii="宋体" w:hAnsi="宋体"/>
                <w:szCs w:val="21"/>
                <w:highlight w:val="none"/>
              </w:rPr>
            </w:pPr>
            <w:r>
              <w:rPr>
                <w:rFonts w:hint="eastAsia" w:ascii="宋体" w:hAnsi="宋体"/>
                <w:szCs w:val="21"/>
                <w:highlight w:val="none"/>
              </w:rPr>
              <w:t>注：</w:t>
            </w:r>
            <w:r>
              <w:rPr>
                <w:rFonts w:hint="eastAsia" w:ascii="宋体" w:hAnsi="宋体" w:cs="宋体"/>
                <w:szCs w:val="21"/>
                <w:highlight w:val="none"/>
              </w:rPr>
              <w:t>政府直属的</w:t>
            </w:r>
            <w:r>
              <w:rPr>
                <w:rFonts w:hint="eastAsia" w:ascii="宋体" w:hAnsi="宋体"/>
                <w:szCs w:val="21"/>
                <w:highlight w:val="none"/>
              </w:rPr>
              <w:t>职业交响乐团:</w:t>
            </w:r>
          </w:p>
          <w:p>
            <w:pPr>
              <w:spacing w:line="400" w:lineRule="exact"/>
              <w:rPr>
                <w:highlight w:val="none"/>
              </w:rPr>
            </w:pPr>
            <w:r>
              <w:rPr>
                <w:rFonts w:hint="eastAsia"/>
                <w:highlight w:val="none"/>
              </w:rPr>
              <w:t>①</w:t>
            </w:r>
            <w:r>
              <w:rPr>
                <w:highlight w:val="none"/>
              </w:rPr>
              <w:t>连续已累计15个以上音乐季，音乐季的标准：提前一年及以上规划下一年整年演出安排，并进行系统成册宣传。</w:t>
            </w:r>
          </w:p>
          <w:p>
            <w:pPr>
              <w:spacing w:line="400" w:lineRule="exact"/>
              <w:rPr>
                <w:highlight w:val="none"/>
              </w:rPr>
            </w:pPr>
            <w:r>
              <w:rPr>
                <w:rFonts w:hint="eastAsia"/>
                <w:highlight w:val="none"/>
              </w:rPr>
              <w:t>②</w:t>
            </w:r>
            <w:r>
              <w:rPr>
                <w:highlight w:val="none"/>
              </w:rPr>
              <w:t>主导创作大型交响曲（或交响套曲、交响合唱等）5部及以上。</w:t>
            </w:r>
          </w:p>
          <w:p>
            <w:pPr>
              <w:pStyle w:val="3"/>
              <w:rPr>
                <w:rFonts w:ascii="宋体" w:hAnsi="宋体" w:cs="宋体"/>
                <w:szCs w:val="21"/>
                <w:highlight w:val="none"/>
              </w:rPr>
            </w:pPr>
            <w:r>
              <w:rPr>
                <w:rFonts w:hint="eastAsia" w:ascii="宋体" w:hAnsi="宋体" w:eastAsia="宋体" w:cs="宋体"/>
                <w:sz w:val="21"/>
                <w:szCs w:val="21"/>
                <w:highlight w:val="none"/>
              </w:rPr>
              <w:t>③全职演职人员150人及以上。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Merge w:val="continue"/>
            <w:vAlign w:val="center"/>
          </w:tcPr>
          <w:p>
            <w:pPr>
              <w:spacing w:line="440" w:lineRule="exact"/>
              <w:jc w:val="center"/>
              <w:outlineLvl w:val="2"/>
              <w:rPr>
                <w:rFonts w:ascii="宋体" w:hAnsi="宋体"/>
                <w:szCs w:val="21"/>
                <w:highlight w:val="none"/>
              </w:rPr>
            </w:pPr>
          </w:p>
        </w:tc>
        <w:tc>
          <w:tcPr>
            <w:tcW w:w="749" w:type="dxa"/>
            <w:vAlign w:val="center"/>
          </w:tcPr>
          <w:p>
            <w:pPr>
              <w:spacing w:line="440" w:lineRule="exact"/>
              <w:jc w:val="center"/>
              <w:rPr>
                <w:rFonts w:ascii="宋体" w:hAnsi="宋体"/>
                <w:szCs w:val="21"/>
                <w:highlight w:val="none"/>
              </w:rPr>
            </w:pPr>
            <w:r>
              <w:rPr>
                <w:rFonts w:ascii="宋体" w:hAnsi="宋体"/>
                <w:szCs w:val="21"/>
                <w:highlight w:val="none"/>
              </w:rPr>
              <w:t>3</w:t>
            </w:r>
          </w:p>
        </w:tc>
        <w:tc>
          <w:tcPr>
            <w:tcW w:w="1662" w:type="dxa"/>
            <w:vAlign w:val="center"/>
          </w:tcPr>
          <w:p>
            <w:pPr>
              <w:spacing w:line="400" w:lineRule="exact"/>
              <w:jc w:val="center"/>
              <w:rPr>
                <w:rFonts w:ascii="宋体" w:hAnsi="宋体" w:cs="宋体"/>
                <w:bCs/>
                <w:szCs w:val="21"/>
                <w:highlight w:val="none"/>
              </w:rPr>
            </w:pPr>
            <w:r>
              <w:rPr>
                <w:rFonts w:hint="eastAsia" w:ascii="宋体" w:hAnsi="宋体" w:cs="宋体"/>
                <w:bCs/>
                <w:szCs w:val="21"/>
                <w:highlight w:val="none"/>
              </w:rPr>
              <w:t>拟派本项目专家指导团队（除项目负责人外）</w:t>
            </w:r>
          </w:p>
        </w:tc>
        <w:tc>
          <w:tcPr>
            <w:tcW w:w="679" w:type="dxa"/>
            <w:vAlign w:val="center"/>
          </w:tcPr>
          <w:p>
            <w:pPr>
              <w:spacing w:line="400" w:lineRule="exact"/>
              <w:jc w:val="center"/>
              <w:rPr>
                <w:rFonts w:ascii="宋体" w:hAnsi="宋体" w:cs="宋体"/>
                <w:szCs w:val="21"/>
                <w:highlight w:val="none"/>
              </w:rPr>
            </w:pPr>
            <w:r>
              <w:rPr>
                <w:rFonts w:hint="eastAsia" w:ascii="宋体" w:hAnsi="宋体" w:cs="宋体"/>
                <w:szCs w:val="21"/>
                <w:highlight w:val="none"/>
              </w:rPr>
              <w:t>12</w:t>
            </w:r>
          </w:p>
        </w:tc>
        <w:tc>
          <w:tcPr>
            <w:tcW w:w="5413" w:type="dxa"/>
            <w:vAlign w:val="center"/>
          </w:tcPr>
          <w:p>
            <w:pPr>
              <w:autoSpaceDE w:val="0"/>
              <w:autoSpaceDN w:val="0"/>
              <w:spacing w:line="400" w:lineRule="exact"/>
              <w:rPr>
                <w:rFonts w:ascii="宋体" w:hAnsi="宋体" w:cs="宋体"/>
                <w:b/>
                <w:bCs/>
                <w:szCs w:val="21"/>
                <w:highlight w:val="none"/>
              </w:rPr>
            </w:pPr>
            <w:r>
              <w:rPr>
                <w:rFonts w:hint="eastAsia" w:ascii="宋体" w:hAnsi="宋体" w:cs="宋体"/>
                <w:b/>
                <w:bCs/>
                <w:szCs w:val="21"/>
                <w:highlight w:val="none"/>
              </w:rPr>
              <w:t>评审内容：</w:t>
            </w:r>
          </w:p>
          <w:p>
            <w:pPr>
              <w:autoSpaceDE w:val="0"/>
              <w:autoSpaceDN w:val="0"/>
              <w:spacing w:line="400" w:lineRule="exact"/>
              <w:rPr>
                <w:rFonts w:ascii="宋体" w:hAnsi="宋体" w:cs="宋体"/>
                <w:szCs w:val="21"/>
                <w:highlight w:val="none"/>
              </w:rPr>
            </w:pPr>
            <w:r>
              <w:rPr>
                <w:rFonts w:hint="eastAsia" w:ascii="宋体" w:hAnsi="宋体" w:cs="宋体"/>
                <w:szCs w:val="21"/>
                <w:highlight w:val="none"/>
              </w:rPr>
              <w:t>专家指导团队成员均为投标人成员，总人数要求至少6人，未达到人数要求的，不得分。在此基础上，按以下要求累加得分：</w:t>
            </w:r>
          </w:p>
          <w:p>
            <w:pPr>
              <w:autoSpaceDE w:val="0"/>
              <w:autoSpaceDN w:val="0"/>
              <w:spacing w:line="400" w:lineRule="exact"/>
              <w:rPr>
                <w:rFonts w:ascii="宋体" w:hAnsi="宋体" w:cs="宋体"/>
                <w:szCs w:val="21"/>
                <w:highlight w:val="none"/>
              </w:rPr>
            </w:pPr>
            <w:r>
              <w:rPr>
                <w:rFonts w:hint="eastAsia" w:ascii="宋体" w:hAnsi="宋体" w:cs="宋体"/>
                <w:szCs w:val="21"/>
                <w:highlight w:val="none"/>
              </w:rPr>
              <w:t>（1）具有政府人事部或政府人力资源和社会保障部门认证的艺术专家，每人得2分，最高得4分；</w:t>
            </w:r>
          </w:p>
          <w:p>
            <w:pPr>
              <w:autoSpaceDE w:val="0"/>
              <w:autoSpaceDN w:val="0"/>
              <w:spacing w:line="400" w:lineRule="exact"/>
              <w:rPr>
                <w:rFonts w:ascii="宋体" w:hAnsi="宋体" w:cs="宋体"/>
                <w:szCs w:val="21"/>
                <w:highlight w:val="none"/>
              </w:rPr>
            </w:pPr>
            <w:r>
              <w:rPr>
                <w:rFonts w:hint="eastAsia" w:ascii="宋体" w:hAnsi="宋体" w:cs="宋体"/>
                <w:szCs w:val="21"/>
                <w:highlight w:val="none"/>
              </w:rPr>
              <w:t>（2）具有政府直属的职业交响乐团从业经验的艺术专家，每人得2分，最高4分；</w:t>
            </w:r>
          </w:p>
          <w:p>
            <w:pPr>
              <w:autoSpaceDE w:val="0"/>
              <w:autoSpaceDN w:val="0"/>
              <w:spacing w:line="400" w:lineRule="exact"/>
              <w:rPr>
                <w:rFonts w:ascii="宋体" w:hAnsi="宋体" w:cs="宋体"/>
                <w:szCs w:val="21"/>
                <w:highlight w:val="none"/>
              </w:rPr>
            </w:pPr>
            <w:r>
              <w:rPr>
                <w:rFonts w:hint="eastAsia" w:ascii="宋体" w:hAnsi="宋体" w:cs="宋体"/>
                <w:szCs w:val="21"/>
                <w:highlight w:val="none"/>
              </w:rPr>
              <w:t>（3）累计向慈善组织捐赠超过100万元（含100万元）的慈善专家，每人2分，最高4分。</w:t>
            </w:r>
          </w:p>
          <w:p>
            <w:pPr>
              <w:autoSpaceDE w:val="0"/>
              <w:autoSpaceDN w:val="0"/>
              <w:spacing w:line="400" w:lineRule="exact"/>
              <w:rPr>
                <w:rFonts w:ascii="宋体" w:hAnsi="宋体" w:cs="宋体"/>
                <w:szCs w:val="21"/>
                <w:highlight w:val="none"/>
              </w:rPr>
            </w:pPr>
            <w:r>
              <w:rPr>
                <w:rFonts w:hint="eastAsia" w:ascii="宋体" w:hAnsi="宋体" w:cs="宋体"/>
                <w:szCs w:val="21"/>
                <w:highlight w:val="none"/>
              </w:rPr>
              <w:t>注：</w:t>
            </w:r>
          </w:p>
          <w:p>
            <w:pPr>
              <w:autoSpaceDE w:val="0"/>
              <w:autoSpaceDN w:val="0"/>
              <w:spacing w:line="400" w:lineRule="exact"/>
              <w:rPr>
                <w:rFonts w:ascii="宋体" w:hAnsi="宋体" w:cs="宋体"/>
                <w:szCs w:val="21"/>
                <w:highlight w:val="none"/>
              </w:rPr>
            </w:pPr>
            <w:r>
              <w:rPr>
                <w:rFonts w:hint="eastAsia" w:ascii="宋体" w:hAnsi="宋体" w:cs="宋体"/>
                <w:szCs w:val="21"/>
                <w:highlight w:val="none"/>
              </w:rPr>
              <w:t>（1）艺术专家:政府人事部或政府人力资源和社会保障部门认证的专业技师资格证包括一级演奏员、二级演奏员、三级演奏员，或担任职业乐团的艺术总监。</w:t>
            </w:r>
          </w:p>
          <w:p>
            <w:pPr>
              <w:autoSpaceDE w:val="0"/>
              <w:autoSpaceDN w:val="0"/>
              <w:spacing w:line="400" w:lineRule="exact"/>
              <w:rPr>
                <w:rFonts w:ascii="宋体" w:hAnsi="宋体" w:cs="宋体"/>
                <w:szCs w:val="21"/>
                <w:highlight w:val="none"/>
              </w:rPr>
            </w:pPr>
            <w:r>
              <w:rPr>
                <w:rFonts w:hint="eastAsia" w:ascii="宋体" w:hAnsi="宋体" w:cs="宋体"/>
                <w:szCs w:val="21"/>
                <w:highlight w:val="none"/>
              </w:rPr>
              <w:t>（2）政府直属的职业交响乐团：</w:t>
            </w:r>
          </w:p>
          <w:p>
            <w:pPr>
              <w:autoSpaceDE w:val="0"/>
              <w:autoSpaceDN w:val="0"/>
              <w:spacing w:line="400" w:lineRule="exact"/>
              <w:rPr>
                <w:highlight w:val="none"/>
              </w:rPr>
            </w:pPr>
            <w:r>
              <w:rPr>
                <w:rFonts w:hint="eastAsia" w:ascii="宋体" w:hAnsi="宋体" w:cs="宋体"/>
                <w:szCs w:val="21"/>
                <w:highlight w:val="none"/>
              </w:rPr>
              <w:t>①连续已累计15个以上音乐季，音乐季的标准</w:t>
            </w:r>
            <w:r>
              <w:rPr>
                <w:highlight w:val="none"/>
              </w:rPr>
              <w:t>：提前一年及以上规划下一年整年演出安排，并进行系统成册宣传。</w:t>
            </w:r>
          </w:p>
          <w:p>
            <w:pPr>
              <w:spacing w:line="400" w:lineRule="exact"/>
              <w:rPr>
                <w:highlight w:val="none"/>
              </w:rPr>
            </w:pPr>
            <w:r>
              <w:rPr>
                <w:rFonts w:hint="eastAsia"/>
                <w:highlight w:val="none"/>
              </w:rPr>
              <w:t>②</w:t>
            </w:r>
            <w:r>
              <w:rPr>
                <w:highlight w:val="none"/>
              </w:rPr>
              <w:t>主导创作大型交响曲（或交响套曲、交响合唱等）5部及以上。</w:t>
            </w:r>
          </w:p>
          <w:p>
            <w:pPr>
              <w:spacing w:line="400" w:lineRule="exact"/>
              <w:rPr>
                <w:highlight w:val="none"/>
              </w:rPr>
            </w:pPr>
            <w:r>
              <w:rPr>
                <w:rFonts w:hint="eastAsia"/>
                <w:highlight w:val="none"/>
              </w:rPr>
              <w:t>③</w:t>
            </w:r>
            <w:r>
              <w:rPr>
                <w:highlight w:val="none"/>
              </w:rPr>
              <w:t>全职演职人员150人及以上。</w:t>
            </w:r>
          </w:p>
          <w:p>
            <w:pPr>
              <w:spacing w:line="400" w:lineRule="exact"/>
              <w:rPr>
                <w:highlight w:val="none"/>
              </w:rPr>
            </w:pPr>
            <w:r>
              <w:rPr>
                <w:rFonts w:hint="eastAsia"/>
                <w:highlight w:val="none"/>
              </w:rPr>
              <w:t>证明材料：</w:t>
            </w:r>
          </w:p>
          <w:p>
            <w:pPr>
              <w:spacing w:line="400" w:lineRule="exact"/>
              <w:rPr>
                <w:highlight w:val="none"/>
              </w:rPr>
            </w:pPr>
            <w:r>
              <w:rPr>
                <w:rFonts w:hint="eastAsia"/>
                <w:highlight w:val="none"/>
              </w:rPr>
              <w:t>（1）提供专家为投标人成员的相关证明材料（劳动合同或聘书或登记机关备案表）作为得分前提，否则此项不得分。</w:t>
            </w:r>
          </w:p>
          <w:p>
            <w:pPr>
              <w:spacing w:line="400" w:lineRule="exact"/>
              <w:jc w:val="left"/>
              <w:rPr>
                <w:rFonts w:ascii="宋体" w:hAnsi="宋体" w:cs="宋体"/>
                <w:szCs w:val="21"/>
                <w:highlight w:val="none"/>
              </w:rPr>
            </w:pPr>
            <w:r>
              <w:rPr>
                <w:rFonts w:hint="eastAsia" w:ascii="宋体" w:hAnsi="宋体" w:cs="宋体"/>
                <w:szCs w:val="21"/>
                <w:highlight w:val="none"/>
              </w:rPr>
              <w:t>（2）</w:t>
            </w:r>
            <w:r>
              <w:rPr>
                <w:rFonts w:hint="eastAsia" w:ascii="宋体" w:hAnsi="宋体" w:cs="宋体"/>
                <w:b/>
                <w:bCs/>
                <w:szCs w:val="21"/>
                <w:highlight w:val="none"/>
              </w:rPr>
              <w:t>评审项（1）</w:t>
            </w:r>
            <w:r>
              <w:rPr>
                <w:rFonts w:hint="eastAsia" w:ascii="宋体" w:hAnsi="宋体" w:cs="宋体"/>
                <w:szCs w:val="21"/>
                <w:highlight w:val="none"/>
              </w:rPr>
              <w:t>提供政府人事部或政府人力资源和社会保障部门认证的专业技术资格证书复印件作为得分依据，证明文件中需体现人员信息。未提供或无法体现不得分。</w:t>
            </w:r>
          </w:p>
          <w:p>
            <w:pPr>
              <w:spacing w:line="400" w:lineRule="exact"/>
              <w:jc w:val="left"/>
              <w:rPr>
                <w:rFonts w:ascii="宋体" w:hAnsi="宋体" w:cs="宋体"/>
                <w:szCs w:val="21"/>
                <w:highlight w:val="none"/>
              </w:rPr>
            </w:pPr>
            <w:r>
              <w:rPr>
                <w:rFonts w:hint="eastAsia" w:ascii="宋体" w:hAnsi="宋体" w:cs="宋体"/>
                <w:szCs w:val="21"/>
                <w:highlight w:val="none"/>
              </w:rPr>
              <w:t>（3）</w:t>
            </w:r>
            <w:r>
              <w:rPr>
                <w:rFonts w:hint="eastAsia" w:ascii="宋体" w:hAnsi="宋体" w:cs="宋体"/>
                <w:b/>
                <w:bCs/>
                <w:szCs w:val="21"/>
                <w:highlight w:val="none"/>
              </w:rPr>
              <w:t>评审项（2）</w:t>
            </w:r>
            <w:r>
              <w:rPr>
                <w:rFonts w:hint="eastAsia" w:ascii="宋体" w:hAnsi="宋体" w:cs="宋体"/>
                <w:szCs w:val="21"/>
                <w:highlight w:val="none"/>
              </w:rPr>
              <w:t>提供政府人事部或政府人力资源和社会保障部门认证的专业技术资格证书复印件，并同时提供政府直属的职业交响乐团从业经验相关的人事聘任文件或劳动合同证明作为得分依据，证明文件中需体现人员信息。未提供或无法体现不得分。</w:t>
            </w:r>
          </w:p>
          <w:p>
            <w:pPr>
              <w:spacing w:line="400" w:lineRule="exact"/>
              <w:jc w:val="left"/>
              <w:rPr>
                <w:rFonts w:ascii="宋体" w:hAnsi="宋体" w:cs="宋体"/>
                <w:szCs w:val="21"/>
                <w:highlight w:val="none"/>
              </w:rPr>
            </w:pPr>
            <w:r>
              <w:rPr>
                <w:rFonts w:hint="eastAsia" w:ascii="宋体" w:hAnsi="宋体" w:cs="宋体"/>
                <w:szCs w:val="21"/>
                <w:highlight w:val="none"/>
              </w:rPr>
              <w:t>（4）</w:t>
            </w:r>
            <w:r>
              <w:rPr>
                <w:rFonts w:hint="eastAsia" w:ascii="宋体" w:hAnsi="宋体" w:cs="宋体"/>
                <w:b/>
                <w:bCs/>
                <w:szCs w:val="21"/>
                <w:highlight w:val="none"/>
              </w:rPr>
              <w:t>评审项（3）</w:t>
            </w:r>
            <w:r>
              <w:rPr>
                <w:rFonts w:hint="eastAsia" w:ascii="宋体" w:hAnsi="宋体" w:cs="宋体"/>
                <w:szCs w:val="21"/>
                <w:highlight w:val="none"/>
              </w:rPr>
              <w:t>提供《捐赠协议》关键页复印件，证明文件中需体现人员信息，如果捐赠主体为企业，则提供企业与人员关系的证明材料作为得分依据。未提供或无法体现不得分。</w:t>
            </w:r>
          </w:p>
          <w:p>
            <w:pPr>
              <w:spacing w:line="400" w:lineRule="exact"/>
              <w:jc w:val="left"/>
              <w:rPr>
                <w:rFonts w:ascii="宋体" w:hAnsi="宋体" w:cs="宋体"/>
                <w:szCs w:val="21"/>
                <w:highlight w:val="none"/>
              </w:rPr>
            </w:pPr>
            <w:r>
              <w:rPr>
                <w:rFonts w:hint="eastAsia" w:ascii="宋体" w:hAnsi="宋体" w:cs="宋体"/>
                <w:szCs w:val="21"/>
                <w:highlight w:val="none"/>
              </w:rPr>
              <w:t>（5）以上证明材料均须提供复印件。评分中出现无证明资料或专家无法凭所提供资料判断是否得分的情况，一律作不得分处理。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Merge w:val="continue"/>
            <w:vAlign w:val="center"/>
          </w:tcPr>
          <w:p>
            <w:pPr>
              <w:spacing w:line="440" w:lineRule="exact"/>
              <w:jc w:val="center"/>
              <w:outlineLvl w:val="2"/>
              <w:rPr>
                <w:rFonts w:ascii="宋体" w:hAnsi="宋体"/>
                <w:szCs w:val="21"/>
                <w:highlight w:val="none"/>
              </w:rPr>
            </w:pPr>
          </w:p>
        </w:tc>
        <w:tc>
          <w:tcPr>
            <w:tcW w:w="749" w:type="dxa"/>
            <w:vAlign w:val="center"/>
          </w:tcPr>
          <w:p>
            <w:pPr>
              <w:spacing w:line="440" w:lineRule="exact"/>
              <w:jc w:val="center"/>
              <w:rPr>
                <w:rFonts w:ascii="宋体" w:hAnsi="宋体"/>
                <w:szCs w:val="21"/>
                <w:highlight w:val="none"/>
              </w:rPr>
            </w:pPr>
          </w:p>
        </w:tc>
        <w:tc>
          <w:tcPr>
            <w:tcW w:w="1662" w:type="dxa"/>
            <w:vAlign w:val="center"/>
          </w:tcPr>
          <w:p>
            <w:pPr>
              <w:spacing w:line="400" w:lineRule="exact"/>
              <w:jc w:val="center"/>
              <w:rPr>
                <w:rFonts w:ascii="宋体" w:hAnsi="宋体" w:cs="宋体"/>
                <w:bCs/>
                <w:szCs w:val="21"/>
                <w:highlight w:val="none"/>
              </w:rPr>
            </w:pPr>
            <w:r>
              <w:rPr>
                <w:rFonts w:hint="eastAsia" w:ascii="宋体" w:hAnsi="宋体" w:cs="宋体"/>
                <w:bCs/>
                <w:szCs w:val="21"/>
                <w:highlight w:val="none"/>
              </w:rPr>
              <w:t>拟派本项目项目实施团队（除项目负责人外）</w:t>
            </w:r>
          </w:p>
        </w:tc>
        <w:tc>
          <w:tcPr>
            <w:tcW w:w="679" w:type="dxa"/>
            <w:vAlign w:val="center"/>
          </w:tcPr>
          <w:p>
            <w:pPr>
              <w:spacing w:line="400" w:lineRule="exact"/>
              <w:jc w:val="center"/>
              <w:rPr>
                <w:rFonts w:ascii="宋体" w:hAnsi="宋体" w:cs="宋体"/>
                <w:szCs w:val="21"/>
                <w:highlight w:val="none"/>
              </w:rPr>
            </w:pPr>
            <w:r>
              <w:rPr>
                <w:rFonts w:hint="eastAsia" w:ascii="宋体" w:hAnsi="宋体" w:cs="宋体"/>
                <w:szCs w:val="21"/>
                <w:highlight w:val="none"/>
              </w:rPr>
              <w:t>12</w:t>
            </w:r>
          </w:p>
        </w:tc>
        <w:tc>
          <w:tcPr>
            <w:tcW w:w="5413" w:type="dxa"/>
            <w:vAlign w:val="center"/>
          </w:tcPr>
          <w:p>
            <w:pPr>
              <w:spacing w:line="400" w:lineRule="exact"/>
              <w:rPr>
                <w:rFonts w:ascii="宋体" w:hAnsi="宋体" w:cs="宋体"/>
                <w:b/>
                <w:bCs/>
                <w:szCs w:val="21"/>
                <w:highlight w:val="none"/>
              </w:rPr>
            </w:pPr>
            <w:r>
              <w:rPr>
                <w:rFonts w:hint="eastAsia" w:ascii="宋体" w:hAnsi="宋体" w:cs="宋体"/>
                <w:b/>
                <w:bCs/>
                <w:szCs w:val="21"/>
                <w:highlight w:val="none"/>
              </w:rPr>
              <w:t>评审内容：</w:t>
            </w:r>
          </w:p>
          <w:p>
            <w:pPr>
              <w:spacing w:line="400" w:lineRule="exact"/>
              <w:jc w:val="left"/>
              <w:rPr>
                <w:rFonts w:ascii="宋体" w:hAnsi="宋体" w:cs="宋体"/>
                <w:szCs w:val="21"/>
                <w:highlight w:val="none"/>
              </w:rPr>
            </w:pPr>
            <w:r>
              <w:rPr>
                <w:rFonts w:hint="eastAsia" w:ascii="宋体" w:hAnsi="宋体" w:cs="宋体"/>
                <w:szCs w:val="21"/>
                <w:highlight w:val="none"/>
              </w:rPr>
              <w:t>团队成员总人数要求至少2人，未达到人数要求的，不得分。</w:t>
            </w:r>
            <w:r>
              <w:rPr>
                <w:rFonts w:hint="eastAsia"/>
                <w:szCs w:val="21"/>
                <w:highlight w:val="none"/>
              </w:rPr>
              <w:t>在此基础上，按以下要求累加</w:t>
            </w:r>
            <w:r>
              <w:rPr>
                <w:rFonts w:hint="eastAsia" w:ascii="宋体" w:hAnsi="宋体" w:cs="宋体"/>
                <w:szCs w:val="21"/>
                <w:highlight w:val="none"/>
              </w:rPr>
              <w:t>得分：</w:t>
            </w:r>
          </w:p>
          <w:p>
            <w:pPr>
              <w:spacing w:line="400" w:lineRule="exact"/>
              <w:jc w:val="left"/>
              <w:rPr>
                <w:rFonts w:ascii="宋体" w:hAnsi="宋体" w:cs="宋体"/>
                <w:szCs w:val="21"/>
                <w:highlight w:val="none"/>
              </w:rPr>
            </w:pPr>
            <w:r>
              <w:rPr>
                <w:rFonts w:hint="eastAsia" w:ascii="宋体" w:hAnsi="宋体" w:cs="宋体"/>
                <w:szCs w:val="21"/>
                <w:highlight w:val="none"/>
              </w:rPr>
              <w:t>（1）具有本科及以上学历的，每人得3分，最高得6分；</w:t>
            </w:r>
          </w:p>
          <w:p>
            <w:pPr>
              <w:spacing w:line="400" w:lineRule="exact"/>
              <w:jc w:val="left"/>
              <w:rPr>
                <w:rFonts w:ascii="宋体" w:hAnsi="宋体" w:cs="宋体"/>
                <w:szCs w:val="21"/>
                <w:highlight w:val="none"/>
              </w:rPr>
            </w:pPr>
            <w:r>
              <w:rPr>
                <w:rFonts w:hint="eastAsia" w:ascii="宋体" w:hAnsi="宋体" w:cs="宋体"/>
                <w:szCs w:val="21"/>
                <w:highlight w:val="none"/>
              </w:rPr>
              <w:t>（2）具有与政府直属的职业交响乐团联合开展公益活动组织和策划相关经验的工作人员，每人得3分，最高得6分；</w:t>
            </w:r>
          </w:p>
          <w:p>
            <w:pPr>
              <w:spacing w:line="400" w:lineRule="exact"/>
              <w:jc w:val="left"/>
              <w:rPr>
                <w:rFonts w:ascii="宋体" w:hAnsi="宋体" w:cs="宋体"/>
                <w:szCs w:val="21"/>
                <w:highlight w:val="none"/>
              </w:rPr>
            </w:pPr>
            <w:r>
              <w:rPr>
                <w:rFonts w:hint="eastAsia" w:ascii="宋体" w:hAnsi="宋体" w:cs="宋体"/>
                <w:szCs w:val="21"/>
                <w:highlight w:val="none"/>
              </w:rPr>
              <w:t>以上两项同一人员可重复计分，最高得12分。</w:t>
            </w:r>
          </w:p>
          <w:p>
            <w:pPr>
              <w:spacing w:line="400" w:lineRule="exact"/>
              <w:jc w:val="left"/>
              <w:rPr>
                <w:rFonts w:ascii="宋体" w:hAnsi="宋体" w:cs="宋体"/>
                <w:szCs w:val="21"/>
                <w:highlight w:val="none"/>
              </w:rPr>
            </w:pPr>
            <w:r>
              <w:rPr>
                <w:rFonts w:hint="eastAsia" w:ascii="宋体" w:hAnsi="宋体" w:cs="宋体"/>
                <w:szCs w:val="21"/>
                <w:highlight w:val="none"/>
              </w:rPr>
              <w:t>注：</w:t>
            </w:r>
          </w:p>
          <w:p>
            <w:pPr>
              <w:spacing w:line="400" w:lineRule="exact"/>
              <w:jc w:val="left"/>
              <w:rPr>
                <w:rFonts w:ascii="宋体" w:hAnsi="宋体" w:cs="宋体"/>
                <w:szCs w:val="21"/>
                <w:highlight w:val="none"/>
              </w:rPr>
            </w:pPr>
            <w:r>
              <w:rPr>
                <w:rFonts w:hint="eastAsia" w:ascii="宋体" w:hAnsi="宋体" w:cs="宋体"/>
                <w:szCs w:val="21"/>
                <w:highlight w:val="none"/>
              </w:rPr>
              <w:t>政府直属的职业交响乐团：</w:t>
            </w:r>
          </w:p>
          <w:p>
            <w:pPr>
              <w:spacing w:line="400" w:lineRule="exact"/>
              <w:jc w:val="left"/>
              <w:rPr>
                <w:rFonts w:ascii="宋体" w:hAnsi="宋体" w:cs="宋体"/>
                <w:szCs w:val="21"/>
                <w:highlight w:val="none"/>
              </w:rPr>
            </w:pPr>
            <w:r>
              <w:rPr>
                <w:rFonts w:hint="eastAsia" w:ascii="宋体" w:hAnsi="宋体" w:cs="宋体"/>
                <w:szCs w:val="21"/>
                <w:highlight w:val="none"/>
              </w:rPr>
              <w:t>①连续已累计15个以上音乐季，音乐季的标准：提前一年及以上规划下一年整年演出安排，并进行系统成册宣传。</w:t>
            </w:r>
          </w:p>
          <w:p>
            <w:pPr>
              <w:spacing w:line="400" w:lineRule="exact"/>
              <w:jc w:val="left"/>
              <w:rPr>
                <w:rFonts w:ascii="宋体" w:hAnsi="宋体" w:cs="宋体"/>
                <w:szCs w:val="21"/>
                <w:highlight w:val="none"/>
              </w:rPr>
            </w:pPr>
            <w:r>
              <w:rPr>
                <w:rFonts w:hint="eastAsia" w:ascii="宋体" w:hAnsi="宋体" w:cs="宋体"/>
                <w:szCs w:val="21"/>
                <w:highlight w:val="none"/>
              </w:rPr>
              <w:t>②主导创作大型交响曲（或交响套曲、交响合唱等）5部及以上。</w:t>
            </w:r>
          </w:p>
          <w:p>
            <w:pPr>
              <w:spacing w:line="400" w:lineRule="exact"/>
              <w:jc w:val="left"/>
              <w:rPr>
                <w:rFonts w:ascii="宋体" w:hAnsi="宋体" w:cs="宋体"/>
                <w:szCs w:val="21"/>
                <w:highlight w:val="none"/>
              </w:rPr>
            </w:pPr>
            <w:r>
              <w:rPr>
                <w:rFonts w:hint="eastAsia" w:ascii="宋体" w:hAnsi="宋体" w:cs="宋体"/>
                <w:szCs w:val="21"/>
                <w:highlight w:val="none"/>
              </w:rPr>
              <w:t>③全职演职人员150人及以上。</w:t>
            </w:r>
          </w:p>
          <w:p>
            <w:pPr>
              <w:spacing w:line="400" w:lineRule="exact"/>
              <w:jc w:val="left"/>
              <w:rPr>
                <w:rFonts w:ascii="宋体" w:hAnsi="宋体" w:cs="宋体"/>
                <w:b/>
                <w:bCs/>
                <w:szCs w:val="21"/>
                <w:highlight w:val="none"/>
              </w:rPr>
            </w:pPr>
            <w:r>
              <w:rPr>
                <w:rFonts w:hint="eastAsia" w:ascii="宋体" w:hAnsi="宋体" w:cs="宋体"/>
                <w:b/>
                <w:bCs/>
                <w:szCs w:val="21"/>
                <w:highlight w:val="none"/>
              </w:rPr>
              <w:t>证明材料：</w:t>
            </w:r>
          </w:p>
          <w:p>
            <w:pPr>
              <w:spacing w:line="400" w:lineRule="exact"/>
              <w:jc w:val="left"/>
              <w:rPr>
                <w:szCs w:val="21"/>
                <w:highlight w:val="none"/>
              </w:rPr>
            </w:pPr>
            <w:r>
              <w:rPr>
                <w:rFonts w:hint="eastAsia" w:ascii="宋体" w:hAnsi="宋体" w:cs="宋体"/>
                <w:szCs w:val="21"/>
                <w:highlight w:val="none"/>
              </w:rPr>
              <w:t>（1）</w:t>
            </w:r>
            <w:r>
              <w:rPr>
                <w:rFonts w:hint="eastAsia" w:ascii="宋体" w:hAnsi="宋体"/>
                <w:bCs/>
                <w:szCs w:val="21"/>
                <w:highlight w:val="none"/>
              </w:rPr>
              <w:t>提供劳动合同或</w:t>
            </w:r>
            <w:r>
              <w:rPr>
                <w:rFonts w:hint="eastAsia"/>
                <w:highlight w:val="none"/>
              </w:rPr>
              <w:t>投标人为人员缴交的近2个月（具体指投标截止日所在月的上一个月起倒算）社保缴交证明材料（证明资料可为社保收缴部门盖章证明资料、社保窗口打印资料或社保官网截图</w:t>
            </w:r>
            <w:r>
              <w:rPr>
                <w:rFonts w:hint="eastAsia" w:ascii="宋体" w:hAnsi="宋体" w:cs="宋体"/>
                <w:kern w:val="0"/>
                <w:szCs w:val="21"/>
                <w:highlight w:val="none"/>
              </w:rPr>
              <w:t>。</w:t>
            </w:r>
            <w:r>
              <w:rPr>
                <w:rFonts w:hint="eastAsia"/>
                <w:highlight w:val="none"/>
              </w:rPr>
              <w:t>）</w:t>
            </w:r>
            <w:r>
              <w:rPr>
                <w:rFonts w:hint="eastAsia" w:ascii="宋体" w:hAnsi="宋体"/>
                <w:bCs/>
                <w:szCs w:val="21"/>
                <w:highlight w:val="none"/>
              </w:rPr>
              <w:t>扫描件作为得分前提，否则此项不得分。</w:t>
            </w:r>
            <w:r>
              <w:rPr>
                <w:rFonts w:hint="eastAsia" w:ascii="宋体" w:hAnsi="宋体" w:cs="宋体"/>
                <w:bCs/>
                <w:szCs w:val="21"/>
                <w:highlight w:val="none"/>
              </w:rPr>
              <w:t>如社保材料因社保部门原因暂时无法取得，则可以往前顺延一个月；或已退休返聘人员无社保的需提供聘用合同</w:t>
            </w:r>
            <w:r>
              <w:rPr>
                <w:rFonts w:hint="eastAsia" w:ascii="宋体" w:hAnsi="宋体"/>
                <w:bCs/>
                <w:szCs w:val="21"/>
                <w:highlight w:val="none"/>
              </w:rPr>
              <w:t>。</w:t>
            </w:r>
            <w:r>
              <w:rPr>
                <w:rFonts w:hint="eastAsia" w:ascii="宋体" w:hAnsi="宋体" w:cs="宋体"/>
                <w:szCs w:val="21"/>
                <w:highlight w:val="none"/>
              </w:rPr>
              <w:t>如供应商为新成立企业且成立时间不足2个月可提供加盖公章的情况说明或者证明材料亦视为符合</w:t>
            </w:r>
            <w:r>
              <w:rPr>
                <w:rFonts w:hint="eastAsia"/>
                <w:szCs w:val="21"/>
                <w:highlight w:val="none"/>
              </w:rPr>
              <w:t>。</w:t>
            </w:r>
            <w:r>
              <w:rPr>
                <w:szCs w:val="21"/>
                <w:highlight w:val="none"/>
              </w:rPr>
              <w:t xml:space="preserve"> </w:t>
            </w:r>
          </w:p>
          <w:p>
            <w:pPr>
              <w:spacing w:line="400" w:lineRule="exact"/>
              <w:jc w:val="left"/>
              <w:rPr>
                <w:rFonts w:ascii="宋体" w:hAnsi="宋体" w:cs="宋体"/>
                <w:szCs w:val="21"/>
                <w:highlight w:val="none"/>
              </w:rPr>
            </w:pPr>
            <w:r>
              <w:rPr>
                <w:rFonts w:hint="eastAsia" w:ascii="宋体" w:hAnsi="宋体" w:cs="宋体"/>
                <w:szCs w:val="21"/>
                <w:highlight w:val="none"/>
              </w:rPr>
              <w:t>（2）提供学历证书</w:t>
            </w:r>
            <w:r>
              <w:rPr>
                <w:rFonts w:hint="eastAsia" w:ascii="宋体" w:hAnsi="宋体"/>
                <w:bCs/>
                <w:szCs w:val="21"/>
                <w:highlight w:val="none"/>
              </w:rPr>
              <w:t>（非国内学历</w:t>
            </w:r>
            <w:r>
              <w:rPr>
                <w:rFonts w:hint="eastAsia" w:ascii="宋体" w:hAnsi="宋体" w:cs="宋体"/>
                <w:highlight w:val="none"/>
              </w:rPr>
              <w:t>应当提供教育部留学服务中心出具的国外学历学位认证证书</w:t>
            </w:r>
            <w:r>
              <w:rPr>
                <w:rFonts w:hint="eastAsia" w:ascii="宋体" w:hAnsi="宋体"/>
                <w:bCs/>
                <w:szCs w:val="21"/>
                <w:highlight w:val="none"/>
              </w:rPr>
              <w:t>）作为得分依据</w:t>
            </w:r>
            <w:r>
              <w:rPr>
                <w:rFonts w:hint="eastAsia" w:ascii="宋体" w:hAnsi="宋体" w:cs="宋体"/>
                <w:szCs w:val="21"/>
                <w:highlight w:val="none"/>
              </w:rPr>
              <w:t>；</w:t>
            </w:r>
          </w:p>
          <w:p>
            <w:pPr>
              <w:spacing w:line="400" w:lineRule="exact"/>
              <w:jc w:val="left"/>
              <w:rPr>
                <w:rFonts w:ascii="宋体" w:hAnsi="宋体" w:cs="宋体"/>
                <w:szCs w:val="21"/>
                <w:highlight w:val="none"/>
              </w:rPr>
            </w:pPr>
            <w:r>
              <w:rPr>
                <w:rFonts w:hint="eastAsia" w:ascii="宋体" w:hAnsi="宋体" w:cs="宋体"/>
                <w:szCs w:val="21"/>
                <w:highlight w:val="none"/>
              </w:rPr>
              <w:t>（3）人员活动经验证明材料（要求提供项目合同关键信息作为得分依据，通过合同关键信息无法判断是否得分的，还须同时提供合同甲方出具的证明文件）；</w:t>
            </w:r>
          </w:p>
          <w:p>
            <w:pPr>
              <w:spacing w:line="400" w:lineRule="exact"/>
              <w:jc w:val="left"/>
              <w:rPr>
                <w:rFonts w:ascii="宋体" w:hAnsi="宋体" w:cs="宋体"/>
                <w:szCs w:val="21"/>
                <w:highlight w:val="none"/>
              </w:rPr>
            </w:pPr>
            <w:r>
              <w:rPr>
                <w:rFonts w:hint="eastAsia" w:ascii="宋体" w:hAnsi="宋体" w:cs="宋体"/>
                <w:szCs w:val="21"/>
                <w:highlight w:val="none"/>
              </w:rPr>
              <w:t>（4）以上证明材料均须提供扫描件。评分中出现无证明资料或专家无法凭所提供资料判断是否得分的情况，一律作不得分处理。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Merge w:val="continue"/>
            <w:vAlign w:val="center"/>
          </w:tcPr>
          <w:p>
            <w:pPr>
              <w:spacing w:line="440" w:lineRule="exact"/>
              <w:jc w:val="center"/>
              <w:outlineLvl w:val="2"/>
              <w:rPr>
                <w:rFonts w:ascii="宋体" w:hAnsi="宋体"/>
                <w:szCs w:val="21"/>
                <w:highlight w:val="none"/>
              </w:rPr>
            </w:pPr>
          </w:p>
        </w:tc>
        <w:tc>
          <w:tcPr>
            <w:tcW w:w="749" w:type="dxa"/>
            <w:vAlign w:val="center"/>
          </w:tcPr>
          <w:p>
            <w:pPr>
              <w:spacing w:line="400" w:lineRule="exact"/>
              <w:jc w:val="center"/>
              <w:rPr>
                <w:rFonts w:ascii="宋体" w:hAnsi="宋体"/>
                <w:highlight w:val="none"/>
              </w:rPr>
            </w:pPr>
            <w:r>
              <w:rPr>
                <w:rFonts w:hint="eastAsia" w:ascii="宋体" w:hAnsi="宋体"/>
                <w:highlight w:val="none"/>
              </w:rPr>
              <w:t>5</w:t>
            </w:r>
          </w:p>
        </w:tc>
        <w:tc>
          <w:tcPr>
            <w:tcW w:w="1662" w:type="dxa"/>
            <w:vAlign w:val="center"/>
          </w:tcPr>
          <w:p>
            <w:pPr>
              <w:spacing w:line="400" w:lineRule="exact"/>
              <w:jc w:val="center"/>
              <w:rPr>
                <w:rFonts w:ascii="宋体" w:hAnsi="宋体"/>
                <w:highlight w:val="none"/>
              </w:rPr>
            </w:pPr>
            <w:r>
              <w:rPr>
                <w:rFonts w:hint="eastAsia" w:ascii="宋体" w:hAnsi="宋体" w:cs="宋体"/>
                <w:kern w:val="0"/>
                <w:szCs w:val="21"/>
                <w:highlight w:val="none"/>
              </w:rPr>
              <w:t>服务质量</w:t>
            </w:r>
          </w:p>
        </w:tc>
        <w:tc>
          <w:tcPr>
            <w:tcW w:w="679" w:type="dxa"/>
            <w:vAlign w:val="center"/>
          </w:tcPr>
          <w:p>
            <w:pPr>
              <w:spacing w:line="400" w:lineRule="exact"/>
              <w:jc w:val="center"/>
              <w:rPr>
                <w:rFonts w:ascii="宋体" w:hAnsi="宋体"/>
                <w:highlight w:val="none"/>
              </w:rPr>
            </w:pPr>
            <w:r>
              <w:rPr>
                <w:rFonts w:hint="eastAsia" w:ascii="宋体" w:hAnsi="宋体"/>
                <w:highlight w:val="none"/>
              </w:rPr>
              <w:t>4</w:t>
            </w:r>
          </w:p>
        </w:tc>
        <w:tc>
          <w:tcPr>
            <w:tcW w:w="5413" w:type="dxa"/>
          </w:tcPr>
          <w:p>
            <w:pPr>
              <w:spacing w:line="400" w:lineRule="exact"/>
              <w:rPr>
                <w:rFonts w:ascii="宋体" w:hAnsi="宋体" w:cs="宋体"/>
                <w:b/>
                <w:bCs/>
                <w:szCs w:val="21"/>
                <w:highlight w:val="none"/>
              </w:rPr>
            </w:pPr>
            <w:r>
              <w:rPr>
                <w:rFonts w:hint="eastAsia" w:ascii="宋体" w:hAnsi="宋体" w:cs="宋体"/>
                <w:b/>
                <w:bCs/>
                <w:szCs w:val="21"/>
                <w:highlight w:val="none"/>
              </w:rPr>
              <w:t>评审内容：</w:t>
            </w:r>
          </w:p>
          <w:p>
            <w:pPr>
              <w:spacing w:line="400" w:lineRule="exact"/>
              <w:jc w:val="left"/>
              <w:rPr>
                <w:rFonts w:ascii="宋体" w:hAnsi="宋体" w:cs="宋体"/>
                <w:szCs w:val="21"/>
                <w:highlight w:val="none"/>
              </w:rPr>
            </w:pPr>
            <w:r>
              <w:rPr>
                <w:rFonts w:hint="eastAsia" w:ascii="宋体" w:hAnsi="宋体" w:cs="宋体"/>
                <w:szCs w:val="21"/>
                <w:highlight w:val="none"/>
              </w:rPr>
              <w:t>投标人需确保联合政府直属的职业交响乐团共同开展公益音乐会，保障活动服务质量，得4分。</w:t>
            </w:r>
          </w:p>
          <w:p>
            <w:pPr>
              <w:spacing w:line="400" w:lineRule="exact"/>
              <w:jc w:val="left"/>
              <w:rPr>
                <w:rFonts w:ascii="宋体" w:hAnsi="宋体" w:cs="宋体"/>
                <w:szCs w:val="21"/>
                <w:highlight w:val="none"/>
              </w:rPr>
            </w:pPr>
            <w:r>
              <w:rPr>
                <w:rFonts w:hint="eastAsia" w:ascii="宋体" w:hAnsi="宋体" w:cs="宋体"/>
                <w:szCs w:val="21"/>
                <w:highlight w:val="none"/>
              </w:rPr>
              <w:t>注：</w:t>
            </w:r>
          </w:p>
          <w:p>
            <w:pPr>
              <w:spacing w:line="400" w:lineRule="exact"/>
              <w:jc w:val="left"/>
              <w:rPr>
                <w:rFonts w:ascii="宋体" w:hAnsi="宋体" w:cs="宋体"/>
                <w:szCs w:val="21"/>
                <w:highlight w:val="none"/>
              </w:rPr>
            </w:pPr>
            <w:r>
              <w:rPr>
                <w:rFonts w:hint="eastAsia" w:ascii="宋体" w:hAnsi="宋体" w:cs="宋体"/>
                <w:szCs w:val="21"/>
                <w:highlight w:val="none"/>
              </w:rPr>
              <w:t>政府直属的职业交响乐团：</w:t>
            </w:r>
          </w:p>
          <w:p>
            <w:pPr>
              <w:spacing w:line="400" w:lineRule="exact"/>
              <w:jc w:val="left"/>
              <w:rPr>
                <w:rFonts w:ascii="宋体" w:hAnsi="宋体" w:cs="宋体"/>
                <w:szCs w:val="21"/>
                <w:highlight w:val="none"/>
              </w:rPr>
            </w:pPr>
            <w:r>
              <w:rPr>
                <w:rFonts w:hint="eastAsia" w:ascii="宋体" w:hAnsi="宋体" w:cs="宋体"/>
                <w:szCs w:val="21"/>
                <w:highlight w:val="none"/>
              </w:rPr>
              <w:t>①连续已累计15个以上音乐季，音乐季的标准：提前一年及以上规划下一年整年演出安排，并进行系统成册宣传。</w:t>
            </w:r>
          </w:p>
          <w:p>
            <w:pPr>
              <w:spacing w:line="400" w:lineRule="exact"/>
              <w:jc w:val="left"/>
              <w:rPr>
                <w:rFonts w:ascii="宋体" w:hAnsi="宋体"/>
                <w:highlight w:val="none"/>
              </w:rPr>
            </w:pPr>
            <w:r>
              <w:rPr>
                <w:rFonts w:hint="eastAsia" w:ascii="宋体" w:hAnsi="宋体" w:cs="宋体"/>
                <w:szCs w:val="21"/>
                <w:highlight w:val="none"/>
              </w:rPr>
              <w:t>②主导创作大型交响曲（或交响套曲、交响合唱等）5部及以上。</w:t>
            </w:r>
          </w:p>
          <w:p>
            <w:pPr>
              <w:spacing w:line="400" w:lineRule="exact"/>
              <w:rPr>
                <w:rFonts w:ascii="宋体" w:hAnsi="宋体"/>
                <w:highlight w:val="none"/>
              </w:rPr>
            </w:pPr>
            <w:r>
              <w:rPr>
                <w:rFonts w:hint="eastAsia" w:ascii="宋体" w:hAnsi="宋体"/>
                <w:b/>
                <w:bCs/>
                <w:highlight w:val="none"/>
              </w:rPr>
              <w:t>证明材料：</w:t>
            </w:r>
            <w:r>
              <w:rPr>
                <w:rFonts w:hint="eastAsia" w:ascii="宋体" w:hAnsi="宋体" w:cs="宋体"/>
                <w:szCs w:val="21"/>
                <w:highlight w:val="none"/>
              </w:rPr>
              <w:t>提供政府直属的职业交响乐团的合作意向证明材料。</w:t>
            </w:r>
            <w:r>
              <w:rPr>
                <w:rFonts w:hint="eastAsia" w:ascii="宋体" w:hAnsi="宋体" w:cs="宋体"/>
                <w:kern w:val="0"/>
                <w:szCs w:val="21"/>
                <w:highlight w:val="none"/>
              </w:rPr>
              <w:t>原件备查，无证明资料或评</w:t>
            </w:r>
            <w:r>
              <w:rPr>
                <w:rFonts w:hint="eastAsia"/>
                <w:highlight w:val="none"/>
              </w:rPr>
              <w:t>分时出现无法凭所提供资料判断是否得分的情况，一律不得分。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Merge w:val="continue"/>
            <w:vAlign w:val="center"/>
          </w:tcPr>
          <w:p>
            <w:pPr>
              <w:spacing w:line="440" w:lineRule="exact"/>
              <w:jc w:val="center"/>
              <w:outlineLvl w:val="2"/>
              <w:rPr>
                <w:rFonts w:ascii="宋体" w:hAnsi="宋体"/>
                <w:szCs w:val="21"/>
                <w:highlight w:val="none"/>
              </w:rPr>
            </w:pPr>
          </w:p>
        </w:tc>
        <w:tc>
          <w:tcPr>
            <w:tcW w:w="749" w:type="dxa"/>
            <w:vAlign w:val="center"/>
          </w:tcPr>
          <w:p>
            <w:pPr>
              <w:spacing w:line="400" w:lineRule="exact"/>
              <w:jc w:val="center"/>
              <w:rPr>
                <w:rFonts w:ascii="宋体" w:hAnsi="宋体"/>
                <w:highlight w:val="none"/>
              </w:rPr>
            </w:pPr>
            <w:r>
              <w:rPr>
                <w:rFonts w:hint="eastAsia" w:ascii="宋体" w:hAnsi="宋体"/>
                <w:highlight w:val="none"/>
              </w:rPr>
              <w:t>6</w:t>
            </w:r>
          </w:p>
        </w:tc>
        <w:tc>
          <w:tcPr>
            <w:tcW w:w="1662" w:type="dxa"/>
            <w:vAlign w:val="center"/>
          </w:tcPr>
          <w:p>
            <w:pPr>
              <w:spacing w:line="400" w:lineRule="exact"/>
              <w:jc w:val="center"/>
              <w:rPr>
                <w:rFonts w:ascii="宋体" w:hAnsi="宋体"/>
                <w:highlight w:val="none"/>
              </w:rPr>
            </w:pPr>
            <w:r>
              <w:rPr>
                <w:rFonts w:hint="eastAsia" w:ascii="宋体" w:hAnsi="宋体"/>
                <w:highlight w:val="none"/>
              </w:rPr>
              <w:t>诚信</w:t>
            </w:r>
          </w:p>
        </w:tc>
        <w:tc>
          <w:tcPr>
            <w:tcW w:w="679" w:type="dxa"/>
            <w:vAlign w:val="center"/>
          </w:tcPr>
          <w:p>
            <w:pPr>
              <w:spacing w:line="400" w:lineRule="exact"/>
              <w:jc w:val="center"/>
              <w:rPr>
                <w:rFonts w:ascii="宋体" w:hAnsi="宋体"/>
                <w:highlight w:val="none"/>
              </w:rPr>
            </w:pPr>
            <w:r>
              <w:rPr>
                <w:rFonts w:hint="eastAsia" w:ascii="宋体" w:hAnsi="宋体"/>
                <w:highlight w:val="none"/>
              </w:rPr>
              <w:t>5</w:t>
            </w:r>
          </w:p>
        </w:tc>
        <w:tc>
          <w:tcPr>
            <w:tcW w:w="5413" w:type="dxa"/>
          </w:tcPr>
          <w:p>
            <w:pPr>
              <w:spacing w:line="400" w:lineRule="exact"/>
              <w:rPr>
                <w:rFonts w:ascii="宋体" w:hAnsi="宋体"/>
                <w:highlight w:val="none"/>
              </w:rPr>
            </w:pPr>
            <w:r>
              <w:rPr>
                <w:rFonts w:ascii="宋体" w:hAnsi="宋体"/>
                <w:szCs w:val="21"/>
                <w:highlight w:val="none"/>
              </w:rPr>
              <w:t>投标人存在《诚信承诺函》所列情形但超出法定追诉时效，或情节轻微未给予禁止参与政府采购的行政处罚的，本项得0分</w:t>
            </w:r>
            <w:r>
              <w:rPr>
                <w:rFonts w:hint="eastAsia" w:ascii="宋体" w:hAnsi="宋体"/>
                <w:szCs w:val="21"/>
                <w:highlight w:val="none"/>
              </w:rPr>
              <w:t>；</w:t>
            </w:r>
            <w:r>
              <w:rPr>
                <w:rFonts w:ascii="宋体" w:hAnsi="宋体"/>
                <w:szCs w:val="21"/>
                <w:highlight w:val="none"/>
              </w:rPr>
              <w:t>不存在上述情形的，本项得满分。注：提供《诚信承诺函》盖投标人公章（详见“诚信承诺函格式”），投标人应对提供的</w:t>
            </w:r>
            <w:r>
              <w:rPr>
                <w:rFonts w:hint="eastAsia" w:ascii="宋体" w:hAnsi="宋体"/>
                <w:szCs w:val="21"/>
                <w:highlight w:val="none"/>
              </w:rPr>
              <w:t xml:space="preserve"> </w:t>
            </w:r>
            <w:r>
              <w:rPr>
                <w:rFonts w:ascii="宋体" w:hAnsi="宋体"/>
                <w:szCs w:val="21"/>
                <w:highlight w:val="none"/>
              </w:rPr>
              <w:t>《诚信承诺函》负责（格式必须按照招标文件格式要求，不得作出任何调整或修订，否则视为无效证明文件）。</w:t>
            </w:r>
          </w:p>
        </w:tc>
      </w:tr>
    </w:tbl>
    <w:p>
      <w:pPr>
        <w:spacing w:line="440" w:lineRule="exact"/>
        <w:ind w:firstLine="422" w:firstLineChars="200"/>
        <w:rPr>
          <w:rFonts w:ascii="宋体" w:hAnsi="宋体"/>
          <w:szCs w:val="21"/>
          <w:highlight w:val="none"/>
        </w:rPr>
      </w:pPr>
      <w:r>
        <w:rPr>
          <w:rFonts w:hint="eastAsia" w:ascii="宋体" w:hAnsi="宋体"/>
          <w:b/>
          <w:szCs w:val="21"/>
          <w:highlight w:val="none"/>
        </w:rPr>
        <w:t>说明：</w:t>
      </w:r>
      <w:r>
        <w:rPr>
          <w:rFonts w:hint="eastAsia" w:ascii="宋体" w:hAnsi="宋体"/>
          <w:szCs w:val="21"/>
          <w:highlight w:val="none"/>
        </w:rPr>
        <w:t>1、本评分表中每一栏的得分最高不得超过该项评审指标的分值。2、表中要求提供相关计分证明文件的内容，投标文件中须明确加以说明，未按要求提供相关文件或说明不清楚的按不符合要求处理。</w:t>
      </w:r>
    </w:p>
    <w:p>
      <w:pPr>
        <w:spacing w:line="440" w:lineRule="exact"/>
        <w:ind w:firstLine="422" w:firstLineChars="200"/>
        <w:rPr>
          <w:rFonts w:ascii="宋体" w:hAnsi="宋体"/>
          <w:b/>
          <w:szCs w:val="21"/>
          <w:highlight w:val="none"/>
        </w:rPr>
      </w:pPr>
      <w:r>
        <w:rPr>
          <w:rFonts w:hint="eastAsia" w:ascii="宋体" w:hAnsi="宋体"/>
          <w:b/>
          <w:szCs w:val="21"/>
          <w:highlight w:val="none"/>
        </w:rPr>
        <w:t>三、评标及定标程序</w:t>
      </w:r>
    </w:p>
    <w:p>
      <w:pPr>
        <w:spacing w:line="440" w:lineRule="exact"/>
        <w:ind w:firstLine="422" w:firstLineChars="200"/>
        <w:rPr>
          <w:rFonts w:ascii="宋体" w:hAnsi="宋体"/>
          <w:b/>
          <w:szCs w:val="21"/>
          <w:highlight w:val="none"/>
        </w:rPr>
      </w:pPr>
      <w:r>
        <w:rPr>
          <w:rFonts w:hint="eastAsia" w:ascii="宋体" w:hAnsi="宋体"/>
          <w:b/>
          <w:szCs w:val="21"/>
          <w:highlight w:val="none"/>
        </w:rPr>
        <w:t>（一）授权评标委员会确定中标单位的方式</w:t>
      </w:r>
    </w:p>
    <w:p>
      <w:pPr>
        <w:pStyle w:val="7"/>
        <w:numPr>
          <w:ilvl w:val="0"/>
          <w:numId w:val="2"/>
        </w:numPr>
        <w:spacing w:line="440" w:lineRule="exact"/>
        <w:ind w:firstLineChars="0"/>
        <w:rPr>
          <w:rFonts w:ascii="宋体" w:hAnsi="宋体"/>
          <w:b/>
          <w:szCs w:val="21"/>
          <w:highlight w:val="none"/>
        </w:rPr>
      </w:pPr>
      <w:r>
        <w:rPr>
          <w:rFonts w:ascii="宋体" w:hAnsi="宋体"/>
          <w:b/>
          <w:szCs w:val="21"/>
          <w:highlight w:val="none"/>
        </w:rPr>
        <w:t>综合评分法</w:t>
      </w:r>
    </w:p>
    <w:p>
      <w:pPr>
        <w:spacing w:line="440" w:lineRule="exact"/>
        <w:ind w:firstLine="422" w:firstLineChars="200"/>
        <w:rPr>
          <w:rFonts w:ascii="Calibri" w:hAnsi="Calibri"/>
          <w:b/>
          <w:szCs w:val="21"/>
          <w:highlight w:val="none"/>
        </w:rPr>
      </w:pPr>
      <w:r>
        <w:rPr>
          <w:rFonts w:hint="eastAsia" w:ascii="宋体" w:hAnsi="宋体"/>
          <w:b/>
          <w:szCs w:val="21"/>
          <w:highlight w:val="none"/>
        </w:rPr>
        <w:t>1、</w:t>
      </w:r>
      <w:r>
        <w:rPr>
          <w:rFonts w:ascii="Calibri" w:hAnsi="宋体"/>
          <w:b/>
          <w:szCs w:val="21"/>
          <w:highlight w:val="none"/>
        </w:rPr>
        <w:t>符合性检查</w:t>
      </w:r>
    </w:p>
    <w:p>
      <w:pPr>
        <w:spacing w:line="440" w:lineRule="exact"/>
        <w:ind w:firstLine="420" w:firstLineChars="200"/>
        <w:rPr>
          <w:rFonts w:ascii="宋体" w:hAnsi="宋体"/>
          <w:bCs/>
          <w:szCs w:val="21"/>
          <w:highlight w:val="none"/>
        </w:rPr>
      </w:pPr>
      <w:r>
        <w:rPr>
          <w:rFonts w:hint="eastAsia" w:ascii="宋体" w:hAnsi="宋体"/>
          <w:bCs/>
          <w:szCs w:val="21"/>
          <w:highlight w:val="none"/>
        </w:rPr>
        <w:t>（1）</w:t>
      </w:r>
      <w:r>
        <w:rPr>
          <w:rFonts w:ascii="宋体" w:hAnsi="宋体"/>
          <w:bCs/>
          <w:szCs w:val="21"/>
          <w:highlight w:val="none"/>
        </w:rPr>
        <w:t>评标委员会根据</w:t>
      </w:r>
      <w:r>
        <w:rPr>
          <w:rFonts w:hint="eastAsia" w:ascii="宋体" w:hAnsi="宋体"/>
          <w:bCs/>
          <w:szCs w:val="21"/>
          <w:highlight w:val="none"/>
        </w:rPr>
        <w:t>《</w:t>
      </w:r>
      <w:r>
        <w:rPr>
          <w:rFonts w:ascii="宋体" w:hAnsi="宋体"/>
          <w:bCs/>
          <w:szCs w:val="21"/>
          <w:highlight w:val="none"/>
        </w:rPr>
        <w:t>符合性检查表》的内容和标准，对所有</w:t>
      </w:r>
      <w:r>
        <w:rPr>
          <w:rFonts w:hint="eastAsia" w:ascii="宋体" w:hAnsi="宋体"/>
          <w:bCs/>
          <w:szCs w:val="21"/>
          <w:highlight w:val="none"/>
        </w:rPr>
        <w:t>通过资格性核查的</w:t>
      </w:r>
      <w:r>
        <w:rPr>
          <w:rFonts w:ascii="宋体" w:hAnsi="宋体"/>
          <w:bCs/>
          <w:szCs w:val="21"/>
          <w:highlight w:val="none"/>
        </w:rPr>
        <w:t>投标</w:t>
      </w:r>
      <w:r>
        <w:rPr>
          <w:rFonts w:hint="eastAsia" w:ascii="宋体" w:hAnsi="宋体"/>
          <w:bCs/>
          <w:szCs w:val="21"/>
          <w:highlight w:val="none"/>
        </w:rPr>
        <w:t>文件</w:t>
      </w:r>
      <w:r>
        <w:rPr>
          <w:rFonts w:ascii="宋体" w:hAnsi="宋体"/>
          <w:bCs/>
          <w:szCs w:val="21"/>
          <w:highlight w:val="none"/>
        </w:rPr>
        <w:t>进行</w:t>
      </w:r>
      <w:r>
        <w:rPr>
          <w:rFonts w:hint="eastAsia" w:ascii="宋体" w:hAnsi="宋体"/>
          <w:bCs/>
          <w:szCs w:val="21"/>
          <w:highlight w:val="none"/>
        </w:rPr>
        <w:t>审</w:t>
      </w:r>
      <w:r>
        <w:rPr>
          <w:rFonts w:ascii="宋体" w:hAnsi="宋体"/>
          <w:bCs/>
          <w:szCs w:val="21"/>
          <w:highlight w:val="none"/>
        </w:rPr>
        <w:t>查。</w:t>
      </w:r>
    </w:p>
    <w:p>
      <w:pPr>
        <w:spacing w:line="440" w:lineRule="exact"/>
        <w:ind w:firstLine="420" w:firstLineChars="200"/>
        <w:rPr>
          <w:rFonts w:ascii="宋体" w:hAnsi="宋体"/>
          <w:bCs/>
          <w:szCs w:val="21"/>
          <w:highlight w:val="none"/>
        </w:rPr>
      </w:pPr>
      <w:r>
        <w:rPr>
          <w:rFonts w:hint="eastAsia" w:ascii="宋体" w:hAnsi="宋体"/>
          <w:bCs/>
          <w:szCs w:val="21"/>
          <w:highlight w:val="none"/>
        </w:rPr>
        <w:t>（2）</w:t>
      </w:r>
      <w:r>
        <w:rPr>
          <w:rFonts w:ascii="宋体" w:hAnsi="宋体"/>
          <w:bCs/>
          <w:szCs w:val="21"/>
          <w:highlight w:val="none"/>
        </w:rPr>
        <w:t>符合性检查的对象是投标人提交的投标文件，评标委员会只就投标文件中所载明的情况进行</w:t>
      </w:r>
      <w:r>
        <w:rPr>
          <w:rFonts w:hint="eastAsia" w:ascii="宋体" w:hAnsi="宋体"/>
          <w:bCs/>
          <w:szCs w:val="21"/>
          <w:highlight w:val="none"/>
        </w:rPr>
        <w:t>审</w:t>
      </w:r>
      <w:r>
        <w:rPr>
          <w:rFonts w:ascii="宋体" w:hAnsi="宋体"/>
          <w:bCs/>
          <w:szCs w:val="21"/>
          <w:highlight w:val="none"/>
        </w:rPr>
        <w:t>查。</w:t>
      </w:r>
    </w:p>
    <w:p>
      <w:pPr>
        <w:spacing w:line="440" w:lineRule="exact"/>
        <w:ind w:firstLine="420" w:firstLineChars="200"/>
        <w:rPr>
          <w:rFonts w:ascii="Calibri" w:hAnsi="Calibri"/>
          <w:szCs w:val="21"/>
          <w:highlight w:val="none"/>
        </w:rPr>
      </w:pPr>
      <w:r>
        <w:rPr>
          <w:rFonts w:hint="eastAsia" w:ascii="宋体" w:hAnsi="宋体"/>
          <w:bCs/>
          <w:szCs w:val="21"/>
          <w:highlight w:val="none"/>
        </w:rPr>
        <w:t>（3）</w:t>
      </w:r>
      <w:r>
        <w:rPr>
          <w:rFonts w:ascii="宋体" w:hAnsi="宋体"/>
          <w:bCs/>
          <w:szCs w:val="21"/>
          <w:highlight w:val="none"/>
        </w:rPr>
        <w:t>符</w:t>
      </w:r>
      <w:r>
        <w:rPr>
          <w:rFonts w:ascii="Calibri" w:hAnsi="宋体"/>
          <w:szCs w:val="21"/>
          <w:highlight w:val="none"/>
        </w:rPr>
        <w:t>合性检查的结果是</w:t>
      </w:r>
      <w:r>
        <w:rPr>
          <w:rFonts w:ascii="Calibri" w:hAnsi="Calibri"/>
          <w:szCs w:val="21"/>
          <w:highlight w:val="none"/>
        </w:rPr>
        <w:t>“</w:t>
      </w:r>
      <w:r>
        <w:rPr>
          <w:rFonts w:ascii="Calibri" w:hAnsi="宋体"/>
          <w:szCs w:val="21"/>
          <w:highlight w:val="none"/>
        </w:rPr>
        <w:t>通过</w:t>
      </w:r>
      <w:r>
        <w:rPr>
          <w:rFonts w:ascii="Calibri" w:hAnsi="Calibri"/>
          <w:szCs w:val="21"/>
          <w:highlight w:val="none"/>
        </w:rPr>
        <w:t>”</w:t>
      </w:r>
      <w:r>
        <w:rPr>
          <w:rFonts w:ascii="Calibri" w:hAnsi="宋体"/>
          <w:szCs w:val="21"/>
          <w:highlight w:val="none"/>
        </w:rPr>
        <w:t>或</w:t>
      </w:r>
      <w:r>
        <w:rPr>
          <w:rFonts w:ascii="Calibri" w:hAnsi="Calibri"/>
          <w:szCs w:val="21"/>
          <w:highlight w:val="none"/>
        </w:rPr>
        <w:t>“</w:t>
      </w:r>
      <w:r>
        <w:rPr>
          <w:rFonts w:ascii="Calibri" w:hAnsi="宋体"/>
          <w:szCs w:val="21"/>
          <w:highlight w:val="none"/>
        </w:rPr>
        <w:t>不通过</w:t>
      </w:r>
      <w:r>
        <w:rPr>
          <w:rFonts w:ascii="Calibri" w:hAnsi="Calibri"/>
          <w:szCs w:val="21"/>
          <w:highlight w:val="none"/>
        </w:rPr>
        <w:t>”</w:t>
      </w:r>
      <w:r>
        <w:rPr>
          <w:rFonts w:ascii="Calibri" w:hAnsi="宋体"/>
          <w:szCs w:val="21"/>
          <w:highlight w:val="none"/>
        </w:rPr>
        <w:t>，只有逐条通过</w:t>
      </w:r>
      <w:r>
        <w:rPr>
          <w:rFonts w:ascii="宋体" w:hAnsi="宋体"/>
          <w:bCs/>
          <w:szCs w:val="21"/>
          <w:highlight w:val="none"/>
        </w:rPr>
        <w:t>《符合性检查表》</w:t>
      </w:r>
      <w:r>
        <w:rPr>
          <w:rFonts w:ascii="Calibri" w:hAnsi="宋体"/>
          <w:szCs w:val="21"/>
          <w:highlight w:val="none"/>
        </w:rPr>
        <w:t>各项检查的投标方能进入下一阶段的评标，否则将导致其投标被废标。</w:t>
      </w:r>
    </w:p>
    <w:p>
      <w:pPr>
        <w:spacing w:line="440" w:lineRule="exact"/>
        <w:ind w:firstLine="422" w:firstLineChars="200"/>
        <w:rPr>
          <w:rFonts w:ascii="宋体" w:hAnsi="宋体"/>
          <w:b/>
          <w:szCs w:val="21"/>
          <w:highlight w:val="none"/>
        </w:rPr>
      </w:pPr>
      <w:r>
        <w:rPr>
          <w:rFonts w:hint="eastAsia" w:ascii="宋体" w:hAnsi="宋体"/>
          <w:b/>
          <w:szCs w:val="21"/>
          <w:highlight w:val="none"/>
        </w:rPr>
        <w:t>2、</w:t>
      </w:r>
      <w:r>
        <w:rPr>
          <w:rFonts w:ascii="宋体" w:hAnsi="宋体"/>
          <w:b/>
          <w:szCs w:val="21"/>
          <w:highlight w:val="none"/>
        </w:rPr>
        <w:t>商务</w:t>
      </w:r>
      <w:r>
        <w:rPr>
          <w:rFonts w:hint="eastAsia" w:ascii="宋体" w:hAnsi="宋体"/>
          <w:b/>
          <w:szCs w:val="21"/>
          <w:highlight w:val="none"/>
        </w:rPr>
        <w:t>、</w:t>
      </w:r>
      <w:r>
        <w:rPr>
          <w:rFonts w:ascii="宋体" w:hAnsi="宋体"/>
          <w:b/>
          <w:szCs w:val="21"/>
          <w:highlight w:val="none"/>
        </w:rPr>
        <w:t>技术及价格评议</w:t>
      </w:r>
    </w:p>
    <w:p>
      <w:pPr>
        <w:spacing w:line="440" w:lineRule="exact"/>
        <w:ind w:firstLine="420" w:firstLineChars="200"/>
        <w:rPr>
          <w:rFonts w:ascii="宋体" w:hAnsi="宋体"/>
          <w:szCs w:val="21"/>
          <w:highlight w:val="none"/>
        </w:rPr>
      </w:pPr>
      <w:r>
        <w:rPr>
          <w:rFonts w:hint="eastAsia" w:ascii="宋体" w:hAnsi="宋体"/>
          <w:szCs w:val="21"/>
          <w:highlight w:val="none"/>
        </w:rPr>
        <w:t>（1）</w:t>
      </w:r>
      <w:r>
        <w:rPr>
          <w:rFonts w:ascii="宋体" w:hAnsi="宋体"/>
          <w:szCs w:val="21"/>
          <w:highlight w:val="none"/>
        </w:rPr>
        <w:t>评标委员会根据《</w:t>
      </w:r>
      <w:r>
        <w:rPr>
          <w:rFonts w:hint="eastAsia" w:ascii="宋体" w:hAnsi="宋体"/>
          <w:szCs w:val="21"/>
          <w:highlight w:val="none"/>
        </w:rPr>
        <w:t>评分表</w:t>
      </w:r>
      <w:r>
        <w:rPr>
          <w:rFonts w:ascii="宋体" w:hAnsi="宋体"/>
          <w:szCs w:val="21"/>
          <w:highlight w:val="none"/>
        </w:rPr>
        <w:t>》的内容和标准，对通过</w:t>
      </w:r>
      <w:r>
        <w:rPr>
          <w:rFonts w:hint="eastAsia" w:ascii="宋体" w:hAnsi="宋体"/>
          <w:bCs/>
          <w:szCs w:val="21"/>
          <w:highlight w:val="none"/>
        </w:rPr>
        <w:t>资格性和</w:t>
      </w:r>
      <w:r>
        <w:rPr>
          <w:rFonts w:ascii="宋体" w:hAnsi="宋体"/>
          <w:bCs/>
          <w:szCs w:val="21"/>
          <w:highlight w:val="none"/>
        </w:rPr>
        <w:t>符合性</w:t>
      </w:r>
      <w:r>
        <w:rPr>
          <w:rFonts w:ascii="宋体" w:hAnsi="宋体"/>
          <w:szCs w:val="21"/>
          <w:highlight w:val="none"/>
        </w:rPr>
        <w:t>检查的投标进行商务</w:t>
      </w:r>
      <w:r>
        <w:rPr>
          <w:rFonts w:hint="eastAsia" w:ascii="宋体" w:hAnsi="宋体"/>
          <w:szCs w:val="21"/>
          <w:highlight w:val="none"/>
        </w:rPr>
        <w:t>、</w:t>
      </w:r>
      <w:r>
        <w:rPr>
          <w:rFonts w:ascii="宋体" w:hAnsi="宋体"/>
          <w:szCs w:val="21"/>
          <w:highlight w:val="none"/>
        </w:rPr>
        <w:t>技术</w:t>
      </w:r>
      <w:r>
        <w:rPr>
          <w:rFonts w:hint="eastAsia" w:ascii="宋体" w:hAnsi="宋体"/>
          <w:szCs w:val="21"/>
          <w:highlight w:val="none"/>
        </w:rPr>
        <w:t>及价格</w:t>
      </w:r>
      <w:r>
        <w:rPr>
          <w:rFonts w:ascii="宋体" w:hAnsi="宋体"/>
          <w:szCs w:val="21"/>
          <w:highlight w:val="none"/>
        </w:rPr>
        <w:t>评议。</w:t>
      </w:r>
    </w:p>
    <w:p>
      <w:pPr>
        <w:spacing w:line="440" w:lineRule="exact"/>
        <w:ind w:firstLine="420" w:firstLineChars="200"/>
        <w:rPr>
          <w:rFonts w:ascii="Calibri" w:hAnsi="Calibri"/>
          <w:szCs w:val="21"/>
          <w:highlight w:val="none"/>
        </w:rPr>
      </w:pPr>
      <w:r>
        <w:rPr>
          <w:rFonts w:hint="eastAsia" w:ascii="宋体" w:hAnsi="宋体"/>
          <w:szCs w:val="21"/>
          <w:highlight w:val="none"/>
        </w:rPr>
        <w:t>（2）</w:t>
      </w:r>
      <w:r>
        <w:rPr>
          <w:rFonts w:ascii="宋体" w:hAnsi="宋体"/>
          <w:szCs w:val="21"/>
          <w:highlight w:val="none"/>
        </w:rPr>
        <w:t>评</w:t>
      </w:r>
      <w:r>
        <w:rPr>
          <w:rFonts w:ascii="Calibri" w:hAnsi="宋体"/>
          <w:szCs w:val="21"/>
          <w:highlight w:val="none"/>
        </w:rPr>
        <w:t>标委员会将对照招标文件中的商务、技术需求条款和投标文件中的商务、技术条款响应进行评议</w:t>
      </w:r>
      <w:r>
        <w:rPr>
          <w:rFonts w:hint="eastAsia" w:ascii="Calibri" w:hAnsi="宋体"/>
          <w:szCs w:val="21"/>
          <w:highlight w:val="none"/>
        </w:rPr>
        <w:t>；</w:t>
      </w:r>
      <w:r>
        <w:rPr>
          <w:rFonts w:ascii="Calibri" w:hAnsi="宋体"/>
          <w:szCs w:val="21"/>
          <w:highlight w:val="none"/>
        </w:rPr>
        <w:t>评标委员会成员将按照《</w:t>
      </w:r>
      <w:r>
        <w:rPr>
          <w:rFonts w:hint="eastAsia" w:ascii="Calibri" w:hAnsi="宋体"/>
          <w:szCs w:val="21"/>
          <w:highlight w:val="none"/>
        </w:rPr>
        <w:t>评分表</w:t>
      </w:r>
      <w:r>
        <w:rPr>
          <w:rFonts w:ascii="Calibri" w:hAnsi="宋体"/>
          <w:szCs w:val="21"/>
          <w:highlight w:val="none"/>
        </w:rPr>
        <w:t>》确定的</w:t>
      </w:r>
      <w:r>
        <w:rPr>
          <w:rFonts w:hint="eastAsia" w:ascii="Calibri" w:hAnsi="宋体"/>
          <w:szCs w:val="21"/>
          <w:highlight w:val="none"/>
        </w:rPr>
        <w:t>分值</w:t>
      </w:r>
      <w:r>
        <w:rPr>
          <w:rFonts w:ascii="Calibri" w:hAnsi="宋体"/>
          <w:szCs w:val="21"/>
          <w:highlight w:val="none"/>
        </w:rPr>
        <w:t>独立对每个投标的商务</w:t>
      </w:r>
      <w:r>
        <w:rPr>
          <w:rFonts w:hint="eastAsia" w:ascii="Calibri" w:hAnsi="宋体"/>
          <w:szCs w:val="21"/>
          <w:highlight w:val="none"/>
        </w:rPr>
        <w:t>、</w:t>
      </w:r>
      <w:r>
        <w:rPr>
          <w:rFonts w:ascii="Calibri" w:hAnsi="宋体"/>
          <w:szCs w:val="21"/>
          <w:highlight w:val="none"/>
        </w:rPr>
        <w:t>技术</w:t>
      </w:r>
      <w:r>
        <w:rPr>
          <w:rFonts w:hint="eastAsia" w:ascii="Calibri" w:hAnsi="宋体"/>
          <w:szCs w:val="21"/>
          <w:highlight w:val="none"/>
        </w:rPr>
        <w:t>及价格</w:t>
      </w:r>
      <w:r>
        <w:rPr>
          <w:rFonts w:ascii="Calibri" w:hAnsi="宋体"/>
          <w:szCs w:val="21"/>
          <w:highlight w:val="none"/>
        </w:rPr>
        <w:t>部分以打分的方式进行评议。</w:t>
      </w:r>
    </w:p>
    <w:p>
      <w:pPr>
        <w:spacing w:line="440" w:lineRule="exact"/>
        <w:ind w:firstLine="422" w:firstLineChars="200"/>
        <w:rPr>
          <w:rFonts w:ascii="Calibri" w:hAnsi="Calibri"/>
          <w:b/>
          <w:szCs w:val="21"/>
          <w:highlight w:val="none"/>
        </w:rPr>
      </w:pPr>
      <w:r>
        <w:rPr>
          <w:rFonts w:hint="eastAsia" w:ascii="宋体" w:hAnsi="宋体"/>
          <w:b/>
          <w:szCs w:val="21"/>
          <w:highlight w:val="none"/>
        </w:rPr>
        <w:t>3、</w:t>
      </w:r>
      <w:r>
        <w:rPr>
          <w:rFonts w:ascii="Calibri" w:hAnsi="宋体"/>
          <w:b/>
          <w:szCs w:val="21"/>
          <w:highlight w:val="none"/>
        </w:rPr>
        <w:t>中标</w:t>
      </w:r>
      <w:r>
        <w:rPr>
          <w:rFonts w:hint="eastAsia" w:ascii="Calibri" w:hAnsi="宋体"/>
          <w:b/>
          <w:szCs w:val="21"/>
          <w:highlight w:val="none"/>
        </w:rPr>
        <w:t>单位</w:t>
      </w:r>
      <w:r>
        <w:rPr>
          <w:rFonts w:ascii="Calibri" w:hAnsi="宋体"/>
          <w:b/>
          <w:szCs w:val="21"/>
          <w:highlight w:val="none"/>
        </w:rPr>
        <w:t>的确定</w:t>
      </w:r>
    </w:p>
    <w:p>
      <w:pPr>
        <w:spacing w:line="440" w:lineRule="exact"/>
        <w:ind w:firstLine="422" w:firstLineChars="200"/>
        <w:rPr>
          <w:rFonts w:ascii="宋体" w:hAnsi="宋体"/>
          <w:b/>
          <w:szCs w:val="21"/>
          <w:highlight w:val="none"/>
        </w:rPr>
      </w:pPr>
      <w:r>
        <w:rPr>
          <w:rFonts w:hint="eastAsia" w:ascii="宋体" w:hAnsi="宋体"/>
          <w:b/>
          <w:szCs w:val="21"/>
          <w:highlight w:val="none"/>
        </w:rPr>
        <w:t xml:space="preserve">3.1  </w:t>
      </w:r>
      <w:r>
        <w:rPr>
          <w:rFonts w:hint="eastAsia" w:ascii="宋体" w:hAnsi="宋体"/>
          <w:b/>
          <w:bCs/>
          <w:szCs w:val="21"/>
          <w:highlight w:val="none"/>
        </w:rPr>
        <w:t>候选中标供应商推荐</w:t>
      </w:r>
    </w:p>
    <w:p>
      <w:pPr>
        <w:spacing w:line="440" w:lineRule="exact"/>
        <w:ind w:firstLine="420" w:firstLineChars="200"/>
        <w:rPr>
          <w:rFonts w:ascii="宋体" w:hAnsi="宋体"/>
          <w:bCs/>
          <w:szCs w:val="21"/>
          <w:highlight w:val="none"/>
        </w:rPr>
      </w:pPr>
      <w:r>
        <w:rPr>
          <w:rFonts w:hint="eastAsia" w:ascii="宋体" w:hAnsi="宋体"/>
          <w:bCs/>
          <w:szCs w:val="21"/>
          <w:highlight w:val="none"/>
        </w:rPr>
        <w:t>（1）每个投标单位的评标总得分以</w:t>
      </w:r>
      <w:r>
        <w:rPr>
          <w:rFonts w:hint="eastAsia" w:ascii="宋体" w:hAnsi="宋体"/>
          <w:szCs w:val="21"/>
          <w:highlight w:val="none"/>
        </w:rPr>
        <w:t>所有评标委员会成员的独立评分汇总</w:t>
      </w:r>
      <w:r>
        <w:rPr>
          <w:rFonts w:hint="eastAsia" w:ascii="宋体" w:hAnsi="宋体"/>
          <w:bCs/>
          <w:szCs w:val="21"/>
          <w:highlight w:val="none"/>
        </w:rPr>
        <w:t>后确定，</w:t>
      </w:r>
      <w:r>
        <w:rPr>
          <w:rFonts w:ascii="宋体" w:hAnsi="宋体"/>
          <w:bCs/>
          <w:szCs w:val="21"/>
          <w:highlight w:val="none"/>
        </w:rPr>
        <w:t>评标总得分相同的，按投标报价由低到高顺序排列；评标总得分且投标报价相同的，按技术指标</w:t>
      </w:r>
      <w:r>
        <w:rPr>
          <w:rFonts w:hint="eastAsia" w:ascii="宋体" w:hAnsi="宋体"/>
          <w:bCs/>
          <w:szCs w:val="21"/>
          <w:highlight w:val="none"/>
        </w:rPr>
        <w:t>（技术部分）</w:t>
      </w:r>
      <w:r>
        <w:rPr>
          <w:rFonts w:ascii="宋体" w:hAnsi="宋体"/>
          <w:bCs/>
          <w:szCs w:val="21"/>
          <w:highlight w:val="none"/>
        </w:rPr>
        <w:t>得分优劣顺序排列</w:t>
      </w:r>
      <w:r>
        <w:rPr>
          <w:rFonts w:hint="eastAsia" w:ascii="Calibri" w:hAnsi="宋体"/>
          <w:szCs w:val="21"/>
          <w:highlight w:val="none"/>
        </w:rPr>
        <w:t>；如</w:t>
      </w:r>
      <w:r>
        <w:rPr>
          <w:rFonts w:ascii="Calibri" w:hAnsi="宋体"/>
          <w:szCs w:val="21"/>
          <w:highlight w:val="none"/>
        </w:rPr>
        <w:t>技术指标</w:t>
      </w:r>
      <w:r>
        <w:rPr>
          <w:rFonts w:hint="eastAsia" w:ascii="Calibri" w:hAnsi="宋体"/>
          <w:szCs w:val="21"/>
          <w:highlight w:val="none"/>
        </w:rPr>
        <w:t>（技术部分）</w:t>
      </w:r>
      <w:r>
        <w:rPr>
          <w:rFonts w:ascii="Calibri" w:hAnsi="宋体"/>
          <w:szCs w:val="21"/>
          <w:highlight w:val="none"/>
        </w:rPr>
        <w:t>得分</w:t>
      </w:r>
      <w:r>
        <w:rPr>
          <w:rFonts w:hint="eastAsia" w:ascii="Calibri" w:hAnsi="宋体"/>
          <w:szCs w:val="21"/>
          <w:highlight w:val="none"/>
        </w:rPr>
        <w:t>仍然相同的，则采用抽签方式确定排序，</w:t>
      </w:r>
      <w:r>
        <w:rPr>
          <w:rFonts w:hint="eastAsia" w:asciiTheme="minorEastAsia" w:hAnsiTheme="minorEastAsia" w:eastAsiaTheme="minorEastAsia"/>
          <w:szCs w:val="21"/>
          <w:highlight w:val="none"/>
        </w:rPr>
        <w:t>具体操作办法及流程由评标委员会确定</w:t>
      </w:r>
      <w:r>
        <w:rPr>
          <w:rFonts w:ascii="宋体" w:hAnsi="宋体"/>
          <w:bCs/>
          <w:szCs w:val="21"/>
          <w:highlight w:val="none"/>
        </w:rPr>
        <w:t>。</w:t>
      </w:r>
    </w:p>
    <w:p>
      <w:pPr>
        <w:spacing w:line="440" w:lineRule="exact"/>
        <w:ind w:firstLine="420" w:firstLineChars="200"/>
        <w:rPr>
          <w:szCs w:val="21"/>
          <w:highlight w:val="none"/>
        </w:rPr>
      </w:pPr>
      <w:r>
        <w:rPr>
          <w:rFonts w:hint="eastAsia" w:ascii="宋体" w:hAnsi="宋体"/>
          <w:bCs/>
          <w:szCs w:val="21"/>
          <w:highlight w:val="none"/>
        </w:rPr>
        <w:t>（2）评标委员会按照综合评分的排名结果推荐中标候选供应商，</w:t>
      </w:r>
      <w:r>
        <w:rPr>
          <w:rFonts w:hint="eastAsia" w:ascii="宋体" w:hAnsi="宋体"/>
          <w:szCs w:val="21"/>
          <w:highlight w:val="none"/>
        </w:rPr>
        <w:t>排名前三的投标单位</w:t>
      </w:r>
      <w:r>
        <w:rPr>
          <w:rFonts w:hint="eastAsia" w:ascii="宋体" w:hAnsi="宋体"/>
          <w:bCs/>
          <w:szCs w:val="21"/>
          <w:highlight w:val="none"/>
        </w:rPr>
        <w:t>作为推荐的候选中标供应商。</w:t>
      </w:r>
    </w:p>
    <w:p>
      <w:pPr>
        <w:spacing w:line="440" w:lineRule="exact"/>
        <w:ind w:firstLine="422" w:firstLineChars="200"/>
        <w:rPr>
          <w:rFonts w:ascii="宋体" w:hAnsi="宋体"/>
          <w:b/>
          <w:bCs/>
          <w:szCs w:val="21"/>
          <w:highlight w:val="none"/>
        </w:rPr>
      </w:pPr>
      <w:r>
        <w:rPr>
          <w:rFonts w:hint="eastAsia" w:ascii="宋体" w:hAnsi="宋体"/>
          <w:b/>
          <w:bCs/>
          <w:szCs w:val="21"/>
          <w:highlight w:val="none"/>
        </w:rPr>
        <w:t>3.2  定标</w:t>
      </w:r>
    </w:p>
    <w:p>
      <w:pPr>
        <w:spacing w:line="440" w:lineRule="exact"/>
        <w:ind w:firstLine="420" w:firstLineChars="200"/>
        <w:rPr>
          <w:rFonts w:ascii="Calibri" w:hAnsi="Calibri"/>
          <w:szCs w:val="21"/>
          <w:highlight w:val="none"/>
        </w:rPr>
      </w:pPr>
      <w:r>
        <w:rPr>
          <w:rFonts w:hint="eastAsia" w:ascii="宋体" w:hAnsi="宋体"/>
          <w:bCs/>
          <w:szCs w:val="21"/>
          <w:highlight w:val="none"/>
        </w:rPr>
        <w:t>采购方授权评标委员会确定中标单位，确定评标总得分最高且</w:t>
      </w:r>
      <w:r>
        <w:rPr>
          <w:rFonts w:ascii="宋体" w:hAnsi="宋体"/>
          <w:bCs/>
          <w:szCs w:val="21"/>
          <w:highlight w:val="none"/>
        </w:rPr>
        <w:t>排名第一</w:t>
      </w:r>
      <w:r>
        <w:rPr>
          <w:rFonts w:hint="eastAsia" w:ascii="宋体" w:hAnsi="宋体"/>
          <w:bCs/>
          <w:szCs w:val="21"/>
          <w:highlight w:val="none"/>
        </w:rPr>
        <w:t>的投标人为中标单位。</w:t>
      </w:r>
    </w:p>
    <w:p>
      <w:pPr>
        <w:pStyle w:val="7"/>
        <w:numPr>
          <w:ilvl w:val="0"/>
          <w:numId w:val="2"/>
        </w:numPr>
        <w:spacing w:line="440" w:lineRule="exact"/>
        <w:ind w:firstLineChars="0"/>
        <w:rPr>
          <w:rFonts w:ascii="宋体" w:hAnsi="宋体"/>
          <w:b/>
          <w:szCs w:val="21"/>
          <w:highlight w:val="none"/>
        </w:rPr>
      </w:pPr>
      <w:r>
        <w:rPr>
          <w:b/>
          <w:szCs w:val="21"/>
          <w:highlight w:val="none"/>
        </w:rPr>
        <w:t>最低价法</w:t>
      </w:r>
    </w:p>
    <w:p>
      <w:pPr>
        <w:spacing w:line="440" w:lineRule="exact"/>
        <w:ind w:firstLine="422" w:firstLineChars="200"/>
        <w:rPr>
          <w:rFonts w:ascii="宋体" w:hAnsi="宋体"/>
          <w:b/>
          <w:szCs w:val="21"/>
          <w:highlight w:val="none"/>
        </w:rPr>
      </w:pPr>
      <w:r>
        <w:rPr>
          <w:rFonts w:hint="eastAsia" w:ascii="宋体" w:hAnsi="宋体"/>
          <w:b/>
          <w:szCs w:val="21"/>
          <w:highlight w:val="none"/>
        </w:rPr>
        <w:t>1、</w:t>
      </w:r>
      <w:r>
        <w:rPr>
          <w:rFonts w:ascii="宋体" w:hAnsi="宋体"/>
          <w:b/>
          <w:szCs w:val="21"/>
          <w:highlight w:val="none"/>
        </w:rPr>
        <w:t>符合性检查</w:t>
      </w:r>
    </w:p>
    <w:p>
      <w:pPr>
        <w:spacing w:line="440" w:lineRule="exact"/>
        <w:ind w:firstLine="420" w:firstLineChars="200"/>
        <w:rPr>
          <w:rFonts w:ascii="宋体" w:hAnsi="宋体"/>
          <w:bCs/>
          <w:szCs w:val="21"/>
          <w:highlight w:val="none"/>
        </w:rPr>
      </w:pPr>
      <w:r>
        <w:rPr>
          <w:rFonts w:hint="eastAsia" w:ascii="宋体" w:hAnsi="宋体"/>
          <w:bCs/>
          <w:szCs w:val="21"/>
          <w:highlight w:val="none"/>
        </w:rPr>
        <w:t>（1）</w:t>
      </w:r>
      <w:r>
        <w:rPr>
          <w:rFonts w:ascii="宋体" w:hAnsi="宋体"/>
          <w:bCs/>
          <w:szCs w:val="21"/>
          <w:highlight w:val="none"/>
        </w:rPr>
        <w:t>评标委员会根据</w:t>
      </w:r>
      <w:r>
        <w:rPr>
          <w:rFonts w:hint="eastAsia" w:ascii="宋体" w:hAnsi="宋体"/>
          <w:bCs/>
          <w:szCs w:val="21"/>
          <w:highlight w:val="none"/>
        </w:rPr>
        <w:t>《</w:t>
      </w:r>
      <w:r>
        <w:rPr>
          <w:rFonts w:ascii="宋体" w:hAnsi="宋体"/>
          <w:bCs/>
          <w:szCs w:val="21"/>
          <w:highlight w:val="none"/>
        </w:rPr>
        <w:t>符合性检查表》的内容和标准，对所有</w:t>
      </w:r>
      <w:r>
        <w:rPr>
          <w:rFonts w:hint="eastAsia" w:ascii="宋体" w:hAnsi="宋体"/>
          <w:bCs/>
          <w:szCs w:val="21"/>
          <w:highlight w:val="none"/>
        </w:rPr>
        <w:t>通过资格性核查的</w:t>
      </w:r>
      <w:r>
        <w:rPr>
          <w:rFonts w:ascii="宋体" w:hAnsi="宋体"/>
          <w:bCs/>
          <w:szCs w:val="21"/>
          <w:highlight w:val="none"/>
        </w:rPr>
        <w:t>投标</w:t>
      </w:r>
      <w:r>
        <w:rPr>
          <w:rFonts w:hint="eastAsia" w:ascii="宋体" w:hAnsi="宋体"/>
          <w:bCs/>
          <w:szCs w:val="21"/>
          <w:highlight w:val="none"/>
        </w:rPr>
        <w:t>文件</w:t>
      </w:r>
      <w:r>
        <w:rPr>
          <w:rFonts w:ascii="宋体" w:hAnsi="宋体"/>
          <w:bCs/>
          <w:szCs w:val="21"/>
          <w:highlight w:val="none"/>
        </w:rPr>
        <w:t>进行</w:t>
      </w:r>
      <w:r>
        <w:rPr>
          <w:rFonts w:hint="eastAsia" w:ascii="宋体" w:hAnsi="宋体"/>
          <w:bCs/>
          <w:szCs w:val="21"/>
          <w:highlight w:val="none"/>
        </w:rPr>
        <w:t>审</w:t>
      </w:r>
      <w:r>
        <w:rPr>
          <w:rFonts w:ascii="宋体" w:hAnsi="宋体"/>
          <w:bCs/>
          <w:szCs w:val="21"/>
          <w:highlight w:val="none"/>
        </w:rPr>
        <w:t>查。</w:t>
      </w:r>
    </w:p>
    <w:p>
      <w:pPr>
        <w:spacing w:line="440" w:lineRule="exact"/>
        <w:ind w:firstLine="420" w:firstLineChars="200"/>
        <w:rPr>
          <w:rFonts w:ascii="宋体" w:hAnsi="宋体"/>
          <w:bCs/>
          <w:szCs w:val="21"/>
          <w:highlight w:val="none"/>
        </w:rPr>
      </w:pPr>
      <w:r>
        <w:rPr>
          <w:rFonts w:hint="eastAsia" w:ascii="宋体" w:hAnsi="宋体"/>
          <w:bCs/>
          <w:szCs w:val="21"/>
          <w:highlight w:val="none"/>
        </w:rPr>
        <w:t>（2）</w:t>
      </w:r>
      <w:r>
        <w:rPr>
          <w:rFonts w:ascii="宋体" w:hAnsi="宋体"/>
          <w:bCs/>
          <w:szCs w:val="21"/>
          <w:highlight w:val="none"/>
        </w:rPr>
        <w:t>符合性检查的对象是投标人提交的投标文件，评标委员会只就投标文件中所载明的情况进行</w:t>
      </w:r>
      <w:r>
        <w:rPr>
          <w:rFonts w:hint="eastAsia" w:ascii="宋体" w:hAnsi="宋体"/>
          <w:bCs/>
          <w:szCs w:val="21"/>
          <w:highlight w:val="none"/>
        </w:rPr>
        <w:t>审</w:t>
      </w:r>
      <w:r>
        <w:rPr>
          <w:rFonts w:ascii="宋体" w:hAnsi="宋体"/>
          <w:bCs/>
          <w:szCs w:val="21"/>
          <w:highlight w:val="none"/>
        </w:rPr>
        <w:t>查。</w:t>
      </w:r>
    </w:p>
    <w:p>
      <w:pPr>
        <w:spacing w:line="440" w:lineRule="exact"/>
        <w:ind w:firstLine="420" w:firstLineChars="200"/>
        <w:rPr>
          <w:rFonts w:ascii="Calibri" w:hAnsi="Calibri"/>
          <w:szCs w:val="21"/>
          <w:highlight w:val="none"/>
        </w:rPr>
      </w:pPr>
      <w:r>
        <w:rPr>
          <w:rFonts w:hint="eastAsia" w:ascii="宋体" w:hAnsi="宋体"/>
          <w:bCs/>
          <w:szCs w:val="21"/>
          <w:highlight w:val="none"/>
        </w:rPr>
        <w:t>（3）</w:t>
      </w:r>
      <w:r>
        <w:rPr>
          <w:rFonts w:ascii="宋体" w:hAnsi="宋体"/>
          <w:bCs/>
          <w:szCs w:val="21"/>
          <w:highlight w:val="none"/>
        </w:rPr>
        <w:t>符</w:t>
      </w:r>
      <w:r>
        <w:rPr>
          <w:rFonts w:ascii="Calibri" w:hAnsi="宋体"/>
          <w:szCs w:val="21"/>
          <w:highlight w:val="none"/>
        </w:rPr>
        <w:t>合性检查的结果是</w:t>
      </w:r>
      <w:r>
        <w:rPr>
          <w:rFonts w:ascii="Calibri" w:hAnsi="Calibri"/>
          <w:szCs w:val="21"/>
          <w:highlight w:val="none"/>
        </w:rPr>
        <w:t>“</w:t>
      </w:r>
      <w:r>
        <w:rPr>
          <w:rFonts w:ascii="Calibri" w:hAnsi="宋体"/>
          <w:szCs w:val="21"/>
          <w:highlight w:val="none"/>
        </w:rPr>
        <w:t>通过</w:t>
      </w:r>
      <w:r>
        <w:rPr>
          <w:rFonts w:ascii="Calibri" w:hAnsi="Calibri"/>
          <w:szCs w:val="21"/>
          <w:highlight w:val="none"/>
        </w:rPr>
        <w:t>”</w:t>
      </w:r>
      <w:r>
        <w:rPr>
          <w:rFonts w:ascii="Calibri" w:hAnsi="宋体"/>
          <w:szCs w:val="21"/>
          <w:highlight w:val="none"/>
        </w:rPr>
        <w:t>或</w:t>
      </w:r>
      <w:r>
        <w:rPr>
          <w:rFonts w:ascii="Calibri" w:hAnsi="Calibri"/>
          <w:szCs w:val="21"/>
          <w:highlight w:val="none"/>
        </w:rPr>
        <w:t>“</w:t>
      </w:r>
      <w:r>
        <w:rPr>
          <w:rFonts w:ascii="Calibri" w:hAnsi="宋体"/>
          <w:szCs w:val="21"/>
          <w:highlight w:val="none"/>
        </w:rPr>
        <w:t>不通过</w:t>
      </w:r>
      <w:r>
        <w:rPr>
          <w:rFonts w:ascii="Calibri" w:hAnsi="Calibri"/>
          <w:szCs w:val="21"/>
          <w:highlight w:val="none"/>
        </w:rPr>
        <w:t>”</w:t>
      </w:r>
      <w:r>
        <w:rPr>
          <w:rFonts w:ascii="Calibri" w:hAnsi="宋体"/>
          <w:szCs w:val="21"/>
          <w:highlight w:val="none"/>
        </w:rPr>
        <w:t>，只有逐条通过</w:t>
      </w:r>
      <w:r>
        <w:rPr>
          <w:rFonts w:ascii="宋体" w:hAnsi="宋体"/>
          <w:bCs/>
          <w:szCs w:val="21"/>
          <w:highlight w:val="none"/>
        </w:rPr>
        <w:t>《符合性检查表》</w:t>
      </w:r>
      <w:r>
        <w:rPr>
          <w:rFonts w:ascii="Calibri" w:hAnsi="宋体"/>
          <w:szCs w:val="21"/>
          <w:highlight w:val="none"/>
        </w:rPr>
        <w:t>各项检查的投标方能进入下一阶段的评标，否则将导致其投标被废标。</w:t>
      </w:r>
    </w:p>
    <w:p>
      <w:pPr>
        <w:spacing w:line="440" w:lineRule="exact"/>
        <w:ind w:firstLine="422" w:firstLineChars="200"/>
        <w:rPr>
          <w:rFonts w:ascii="Calibri" w:hAnsi="Calibri"/>
          <w:b/>
          <w:szCs w:val="21"/>
          <w:highlight w:val="none"/>
        </w:rPr>
      </w:pPr>
      <w:r>
        <w:rPr>
          <w:rFonts w:hint="eastAsia" w:ascii="宋体" w:hAnsi="宋体"/>
          <w:b/>
          <w:szCs w:val="21"/>
          <w:highlight w:val="none"/>
        </w:rPr>
        <w:t>2、</w:t>
      </w:r>
      <w:r>
        <w:rPr>
          <w:rFonts w:ascii="Calibri" w:hAnsi="宋体"/>
          <w:b/>
          <w:szCs w:val="21"/>
          <w:highlight w:val="none"/>
        </w:rPr>
        <w:t>中标</w:t>
      </w:r>
      <w:r>
        <w:rPr>
          <w:rFonts w:hint="eastAsia" w:ascii="Calibri" w:hAnsi="宋体"/>
          <w:b/>
          <w:szCs w:val="21"/>
          <w:highlight w:val="none"/>
        </w:rPr>
        <w:t>单位</w:t>
      </w:r>
      <w:r>
        <w:rPr>
          <w:rFonts w:ascii="Calibri" w:hAnsi="宋体"/>
          <w:b/>
          <w:szCs w:val="21"/>
          <w:highlight w:val="none"/>
        </w:rPr>
        <w:t>的确定</w:t>
      </w:r>
    </w:p>
    <w:p>
      <w:pPr>
        <w:spacing w:line="440" w:lineRule="exact"/>
        <w:ind w:firstLine="422" w:firstLineChars="200"/>
        <w:rPr>
          <w:rFonts w:ascii="宋体" w:hAnsi="宋体"/>
          <w:b/>
          <w:szCs w:val="21"/>
          <w:highlight w:val="none"/>
        </w:rPr>
      </w:pPr>
      <w:r>
        <w:rPr>
          <w:rFonts w:ascii="宋体" w:hAnsi="宋体"/>
          <w:b/>
          <w:szCs w:val="21"/>
          <w:highlight w:val="none"/>
        </w:rPr>
        <w:t>2</w:t>
      </w:r>
      <w:r>
        <w:rPr>
          <w:rFonts w:hint="eastAsia" w:ascii="宋体" w:hAnsi="宋体"/>
          <w:b/>
          <w:szCs w:val="21"/>
          <w:highlight w:val="none"/>
        </w:rPr>
        <w:t xml:space="preserve">.1  </w:t>
      </w:r>
      <w:r>
        <w:rPr>
          <w:rFonts w:hint="eastAsia" w:ascii="宋体" w:hAnsi="宋体"/>
          <w:b/>
          <w:bCs/>
          <w:szCs w:val="21"/>
          <w:highlight w:val="none"/>
        </w:rPr>
        <w:t>候选中标供应商推荐</w:t>
      </w:r>
    </w:p>
    <w:p>
      <w:pPr>
        <w:spacing w:line="440" w:lineRule="exact"/>
        <w:ind w:firstLine="435"/>
        <w:rPr>
          <w:rFonts w:ascii="宋体" w:hAnsi="宋体"/>
          <w:szCs w:val="21"/>
          <w:highlight w:val="none"/>
        </w:rPr>
      </w:pPr>
      <w:r>
        <w:rPr>
          <w:rFonts w:hint="eastAsia" w:ascii="宋体" w:hAnsi="宋体"/>
          <w:szCs w:val="21"/>
          <w:highlight w:val="none"/>
        </w:rPr>
        <w:t>（1）</w:t>
      </w:r>
      <w:r>
        <w:rPr>
          <w:rFonts w:ascii="宋体" w:hAnsi="宋体"/>
          <w:szCs w:val="21"/>
          <w:highlight w:val="none"/>
        </w:rPr>
        <w:t>评标委员会对通过上述检查且最终报价不超过预算控制金额</w:t>
      </w:r>
      <w:r>
        <w:rPr>
          <w:rFonts w:hint="eastAsia" w:ascii="宋体" w:hAnsi="宋体"/>
          <w:szCs w:val="21"/>
          <w:highlight w:val="none"/>
        </w:rPr>
        <w:t>的投标单位进行审查，并</w:t>
      </w:r>
      <w:r>
        <w:rPr>
          <w:rFonts w:ascii="Calibri" w:hAnsi="宋体"/>
          <w:szCs w:val="21"/>
          <w:highlight w:val="none"/>
        </w:rPr>
        <w:t>按投标报价由低到高</w:t>
      </w:r>
      <w:r>
        <w:rPr>
          <w:rFonts w:hint="eastAsia" w:ascii="Calibri" w:hAnsi="宋体"/>
          <w:szCs w:val="21"/>
          <w:highlight w:val="none"/>
        </w:rPr>
        <w:t>排序；</w:t>
      </w:r>
      <w:r>
        <w:rPr>
          <w:rFonts w:ascii="Calibri" w:hAnsi="宋体"/>
          <w:szCs w:val="21"/>
          <w:highlight w:val="none"/>
        </w:rPr>
        <w:t>投标报价相同的，按技术指标优劣顺序排列</w:t>
      </w:r>
      <w:r>
        <w:rPr>
          <w:rFonts w:hint="eastAsia" w:ascii="Calibri" w:hAnsi="宋体"/>
          <w:szCs w:val="21"/>
          <w:highlight w:val="none"/>
        </w:rPr>
        <w:t>；技术指标仍然相同的，则采用抽签方式确定排序，</w:t>
      </w:r>
      <w:r>
        <w:rPr>
          <w:rFonts w:hint="eastAsia" w:asciiTheme="minorEastAsia" w:hAnsiTheme="minorEastAsia" w:eastAsiaTheme="minorEastAsia"/>
          <w:szCs w:val="21"/>
          <w:highlight w:val="none"/>
        </w:rPr>
        <w:t>具体操作办法及流程由评标委员会确定</w:t>
      </w:r>
      <w:r>
        <w:rPr>
          <w:rFonts w:ascii="Calibri" w:hAnsi="宋体"/>
          <w:szCs w:val="21"/>
          <w:highlight w:val="none"/>
        </w:rPr>
        <w:t>。</w:t>
      </w:r>
      <w:r>
        <w:rPr>
          <w:rFonts w:hint="eastAsia" w:ascii="宋体" w:hAnsi="宋体"/>
          <w:szCs w:val="21"/>
          <w:highlight w:val="none"/>
        </w:rPr>
        <w:t>投标人在参与政府采购活动中存在诚信相关问题且在主管部门相关处理措施实施期限内的，在该企业投标报价的基础上上浮10%后参与价格评比。投标人无需提供任何证明材料，由本项目评审委员会在评标时通过深圳市政府采购网系统查询。</w:t>
      </w:r>
    </w:p>
    <w:p>
      <w:pPr>
        <w:spacing w:line="440" w:lineRule="exact"/>
        <w:ind w:firstLine="435"/>
        <w:rPr>
          <w:rFonts w:ascii="宋体" w:hAnsi="宋体"/>
          <w:b/>
          <w:bCs/>
          <w:szCs w:val="21"/>
          <w:highlight w:val="none"/>
        </w:rPr>
      </w:pPr>
      <w:r>
        <w:rPr>
          <w:rFonts w:hint="eastAsia" w:ascii="宋体" w:hAnsi="宋体"/>
          <w:bCs/>
          <w:szCs w:val="21"/>
          <w:highlight w:val="none"/>
        </w:rPr>
        <w:t>（2）评标委员会按照上述投标</w:t>
      </w:r>
      <w:r>
        <w:rPr>
          <w:rFonts w:ascii="宋体" w:hAnsi="宋体"/>
          <w:bCs/>
          <w:szCs w:val="21"/>
          <w:highlight w:val="none"/>
        </w:rPr>
        <w:t>报价的</w:t>
      </w:r>
      <w:r>
        <w:rPr>
          <w:rFonts w:hint="eastAsia" w:ascii="宋体" w:hAnsi="宋体"/>
          <w:bCs/>
          <w:szCs w:val="21"/>
          <w:highlight w:val="none"/>
        </w:rPr>
        <w:t>排序结果推荐中标候选供应商，</w:t>
      </w:r>
      <w:r>
        <w:rPr>
          <w:rFonts w:hint="eastAsia" w:ascii="宋体" w:hAnsi="宋体"/>
          <w:szCs w:val="21"/>
          <w:highlight w:val="none"/>
        </w:rPr>
        <w:t>排名前三的投标单位</w:t>
      </w:r>
      <w:r>
        <w:rPr>
          <w:rFonts w:hint="eastAsia" w:ascii="宋体" w:hAnsi="宋体"/>
          <w:bCs/>
          <w:szCs w:val="21"/>
          <w:highlight w:val="none"/>
        </w:rPr>
        <w:t>作为推荐的候选中标供应商。</w:t>
      </w:r>
    </w:p>
    <w:p>
      <w:pPr>
        <w:spacing w:line="440" w:lineRule="exact"/>
        <w:ind w:firstLine="435"/>
        <w:rPr>
          <w:rFonts w:ascii="宋体" w:hAnsi="宋体"/>
          <w:b/>
          <w:szCs w:val="21"/>
          <w:highlight w:val="none"/>
        </w:rPr>
      </w:pPr>
      <w:r>
        <w:rPr>
          <w:rFonts w:hint="eastAsia" w:ascii="宋体" w:hAnsi="宋体"/>
          <w:b/>
          <w:szCs w:val="21"/>
          <w:highlight w:val="none"/>
        </w:rPr>
        <w:t>2</w:t>
      </w:r>
      <w:r>
        <w:rPr>
          <w:rFonts w:ascii="宋体" w:hAnsi="宋体"/>
          <w:b/>
          <w:szCs w:val="21"/>
          <w:highlight w:val="none"/>
        </w:rPr>
        <w:t xml:space="preserve">.2  </w:t>
      </w:r>
      <w:r>
        <w:rPr>
          <w:rFonts w:hint="eastAsia" w:ascii="宋体" w:hAnsi="宋体"/>
          <w:b/>
          <w:szCs w:val="21"/>
          <w:highlight w:val="none"/>
        </w:rPr>
        <w:t>定标</w:t>
      </w:r>
    </w:p>
    <w:p>
      <w:pPr>
        <w:spacing w:line="440" w:lineRule="exact"/>
        <w:ind w:firstLine="435"/>
        <w:rPr>
          <w:rFonts w:ascii="宋体" w:hAnsi="宋体"/>
          <w:szCs w:val="21"/>
          <w:highlight w:val="none"/>
        </w:rPr>
      </w:pPr>
      <w:r>
        <w:rPr>
          <w:rFonts w:ascii="宋体" w:hAnsi="宋体"/>
          <w:szCs w:val="21"/>
          <w:highlight w:val="none"/>
        </w:rPr>
        <w:t>采购方授权评标委员会确定中标单位，</w:t>
      </w:r>
      <w:r>
        <w:rPr>
          <w:rFonts w:hint="eastAsia" w:ascii="宋体" w:hAnsi="宋体"/>
          <w:szCs w:val="21"/>
          <w:highlight w:val="none"/>
        </w:rPr>
        <w:t>确定</w:t>
      </w:r>
      <w:r>
        <w:rPr>
          <w:rFonts w:ascii="宋体" w:hAnsi="宋体"/>
          <w:szCs w:val="21"/>
          <w:highlight w:val="none"/>
        </w:rPr>
        <w:t>投标</w:t>
      </w:r>
      <w:r>
        <w:rPr>
          <w:rFonts w:hint="eastAsia" w:ascii="宋体" w:hAnsi="宋体"/>
          <w:szCs w:val="21"/>
          <w:highlight w:val="none"/>
        </w:rPr>
        <w:t>报价</w:t>
      </w:r>
      <w:r>
        <w:rPr>
          <w:rFonts w:ascii="宋体" w:hAnsi="宋体"/>
          <w:szCs w:val="21"/>
          <w:highlight w:val="none"/>
        </w:rPr>
        <w:t>最低</w:t>
      </w:r>
      <w:r>
        <w:rPr>
          <w:rFonts w:hint="eastAsia" w:ascii="宋体" w:hAnsi="宋体"/>
          <w:szCs w:val="21"/>
          <w:highlight w:val="none"/>
        </w:rPr>
        <w:t>且</w:t>
      </w:r>
      <w:r>
        <w:rPr>
          <w:rFonts w:ascii="宋体" w:hAnsi="宋体"/>
          <w:szCs w:val="21"/>
          <w:highlight w:val="none"/>
        </w:rPr>
        <w:t>排名第一的投标供应商为中标</w:t>
      </w:r>
      <w:r>
        <w:rPr>
          <w:rFonts w:hint="eastAsia" w:ascii="宋体" w:hAnsi="宋体"/>
          <w:szCs w:val="21"/>
          <w:highlight w:val="none"/>
        </w:rPr>
        <w:t>单位。</w:t>
      </w:r>
    </w:p>
    <w:p>
      <w:pPr>
        <w:spacing w:line="440" w:lineRule="exact"/>
        <w:ind w:firstLine="422" w:firstLineChars="200"/>
        <w:rPr>
          <w:b/>
          <w:highlight w:val="none"/>
        </w:rPr>
      </w:pPr>
      <w:r>
        <w:rPr>
          <w:rFonts w:hint="eastAsia"/>
          <w:b/>
          <w:highlight w:val="none"/>
        </w:rPr>
        <w:t>（二）评标和定标分离的方式</w:t>
      </w:r>
    </w:p>
    <w:p>
      <w:pPr>
        <w:spacing w:line="440" w:lineRule="exact"/>
        <w:ind w:firstLine="422" w:firstLineChars="200"/>
        <w:rPr>
          <w:rFonts w:ascii="宋体" w:hAnsi="宋体"/>
          <w:b/>
          <w:szCs w:val="21"/>
          <w:highlight w:val="none"/>
        </w:rPr>
      </w:pPr>
      <w:r>
        <w:rPr>
          <w:rFonts w:hint="eastAsia" w:ascii="宋体" w:hAnsi="宋体"/>
          <w:b/>
          <w:szCs w:val="21"/>
          <w:highlight w:val="none"/>
        </w:rPr>
        <w:t>1、</w:t>
      </w:r>
      <w:r>
        <w:rPr>
          <w:rFonts w:ascii="宋体" w:hAnsi="宋体"/>
          <w:b/>
          <w:szCs w:val="21"/>
          <w:highlight w:val="none"/>
        </w:rPr>
        <w:t>符合性检查</w:t>
      </w:r>
    </w:p>
    <w:p>
      <w:pPr>
        <w:spacing w:line="440" w:lineRule="exact"/>
        <w:ind w:firstLine="420" w:firstLineChars="200"/>
        <w:rPr>
          <w:rFonts w:ascii="宋体" w:hAnsi="宋体"/>
          <w:bCs/>
          <w:szCs w:val="21"/>
          <w:highlight w:val="none"/>
        </w:rPr>
      </w:pPr>
      <w:r>
        <w:rPr>
          <w:rFonts w:hint="eastAsia" w:ascii="宋体" w:hAnsi="宋体"/>
          <w:bCs/>
          <w:szCs w:val="21"/>
          <w:highlight w:val="none"/>
        </w:rPr>
        <w:t>（1）</w:t>
      </w:r>
      <w:r>
        <w:rPr>
          <w:rFonts w:ascii="宋体" w:hAnsi="宋体"/>
          <w:bCs/>
          <w:szCs w:val="21"/>
          <w:highlight w:val="none"/>
        </w:rPr>
        <w:t>评标委员会根据</w:t>
      </w:r>
      <w:r>
        <w:rPr>
          <w:rFonts w:hint="eastAsia" w:ascii="宋体" w:hAnsi="宋体"/>
          <w:bCs/>
          <w:szCs w:val="21"/>
          <w:highlight w:val="none"/>
        </w:rPr>
        <w:t>《</w:t>
      </w:r>
      <w:r>
        <w:rPr>
          <w:rFonts w:ascii="宋体" w:hAnsi="宋体"/>
          <w:bCs/>
          <w:szCs w:val="21"/>
          <w:highlight w:val="none"/>
        </w:rPr>
        <w:t>符合性检查表》的内容和标准，对所有</w:t>
      </w:r>
      <w:r>
        <w:rPr>
          <w:rFonts w:hint="eastAsia" w:ascii="宋体" w:hAnsi="宋体"/>
          <w:bCs/>
          <w:szCs w:val="21"/>
          <w:highlight w:val="none"/>
        </w:rPr>
        <w:t>通过资格性核查的</w:t>
      </w:r>
      <w:r>
        <w:rPr>
          <w:rFonts w:ascii="宋体" w:hAnsi="宋体"/>
          <w:bCs/>
          <w:szCs w:val="21"/>
          <w:highlight w:val="none"/>
        </w:rPr>
        <w:t>投标</w:t>
      </w:r>
      <w:r>
        <w:rPr>
          <w:rFonts w:hint="eastAsia" w:ascii="宋体" w:hAnsi="宋体"/>
          <w:bCs/>
          <w:szCs w:val="21"/>
          <w:highlight w:val="none"/>
        </w:rPr>
        <w:t>文件</w:t>
      </w:r>
      <w:r>
        <w:rPr>
          <w:rFonts w:ascii="宋体" w:hAnsi="宋体"/>
          <w:bCs/>
          <w:szCs w:val="21"/>
          <w:highlight w:val="none"/>
        </w:rPr>
        <w:t>进行</w:t>
      </w:r>
      <w:r>
        <w:rPr>
          <w:rFonts w:hint="eastAsia" w:ascii="宋体" w:hAnsi="宋体"/>
          <w:bCs/>
          <w:szCs w:val="21"/>
          <w:highlight w:val="none"/>
        </w:rPr>
        <w:t>审</w:t>
      </w:r>
      <w:r>
        <w:rPr>
          <w:rFonts w:ascii="宋体" w:hAnsi="宋体"/>
          <w:bCs/>
          <w:szCs w:val="21"/>
          <w:highlight w:val="none"/>
        </w:rPr>
        <w:t>查。</w:t>
      </w:r>
    </w:p>
    <w:p>
      <w:pPr>
        <w:spacing w:line="440" w:lineRule="exact"/>
        <w:ind w:firstLine="420" w:firstLineChars="200"/>
        <w:rPr>
          <w:rFonts w:ascii="宋体" w:hAnsi="宋体"/>
          <w:bCs/>
          <w:szCs w:val="21"/>
          <w:highlight w:val="none"/>
        </w:rPr>
      </w:pPr>
      <w:r>
        <w:rPr>
          <w:rFonts w:hint="eastAsia" w:ascii="宋体" w:hAnsi="宋体"/>
          <w:bCs/>
          <w:szCs w:val="21"/>
          <w:highlight w:val="none"/>
        </w:rPr>
        <w:t>（2）</w:t>
      </w:r>
      <w:r>
        <w:rPr>
          <w:rFonts w:ascii="宋体" w:hAnsi="宋体"/>
          <w:bCs/>
          <w:szCs w:val="21"/>
          <w:highlight w:val="none"/>
        </w:rPr>
        <w:t>符合性检查的对象是投标人提交的投标文件，评标委员会只就投标文件中所载明的情况进行</w:t>
      </w:r>
      <w:r>
        <w:rPr>
          <w:rFonts w:hint="eastAsia" w:ascii="宋体" w:hAnsi="宋体"/>
          <w:bCs/>
          <w:szCs w:val="21"/>
          <w:highlight w:val="none"/>
        </w:rPr>
        <w:t>审</w:t>
      </w:r>
      <w:r>
        <w:rPr>
          <w:rFonts w:ascii="宋体" w:hAnsi="宋体"/>
          <w:bCs/>
          <w:szCs w:val="21"/>
          <w:highlight w:val="none"/>
        </w:rPr>
        <w:t>查。</w:t>
      </w:r>
    </w:p>
    <w:p>
      <w:pPr>
        <w:spacing w:line="440" w:lineRule="exact"/>
        <w:ind w:firstLine="420" w:firstLineChars="200"/>
        <w:rPr>
          <w:rFonts w:ascii="Calibri" w:hAnsi="Calibri"/>
          <w:szCs w:val="21"/>
          <w:highlight w:val="none"/>
        </w:rPr>
      </w:pPr>
      <w:r>
        <w:rPr>
          <w:rFonts w:hint="eastAsia" w:ascii="宋体" w:hAnsi="宋体"/>
          <w:bCs/>
          <w:szCs w:val="21"/>
          <w:highlight w:val="none"/>
        </w:rPr>
        <w:t>（3）</w:t>
      </w:r>
      <w:r>
        <w:rPr>
          <w:rFonts w:ascii="宋体" w:hAnsi="宋体"/>
          <w:bCs/>
          <w:szCs w:val="21"/>
          <w:highlight w:val="none"/>
        </w:rPr>
        <w:t>符</w:t>
      </w:r>
      <w:r>
        <w:rPr>
          <w:rFonts w:ascii="Calibri" w:hAnsi="宋体"/>
          <w:szCs w:val="21"/>
          <w:highlight w:val="none"/>
        </w:rPr>
        <w:t>合性检查的结果是</w:t>
      </w:r>
      <w:r>
        <w:rPr>
          <w:rFonts w:ascii="Calibri" w:hAnsi="Calibri"/>
          <w:szCs w:val="21"/>
          <w:highlight w:val="none"/>
        </w:rPr>
        <w:t>“</w:t>
      </w:r>
      <w:r>
        <w:rPr>
          <w:rFonts w:ascii="Calibri" w:hAnsi="宋体"/>
          <w:szCs w:val="21"/>
          <w:highlight w:val="none"/>
        </w:rPr>
        <w:t>通过</w:t>
      </w:r>
      <w:r>
        <w:rPr>
          <w:rFonts w:ascii="Calibri" w:hAnsi="Calibri"/>
          <w:szCs w:val="21"/>
          <w:highlight w:val="none"/>
        </w:rPr>
        <w:t>”</w:t>
      </w:r>
      <w:r>
        <w:rPr>
          <w:rFonts w:ascii="Calibri" w:hAnsi="宋体"/>
          <w:szCs w:val="21"/>
          <w:highlight w:val="none"/>
        </w:rPr>
        <w:t>或</w:t>
      </w:r>
      <w:r>
        <w:rPr>
          <w:rFonts w:ascii="Calibri" w:hAnsi="Calibri"/>
          <w:szCs w:val="21"/>
          <w:highlight w:val="none"/>
        </w:rPr>
        <w:t>“</w:t>
      </w:r>
      <w:r>
        <w:rPr>
          <w:rFonts w:ascii="Calibri" w:hAnsi="宋体"/>
          <w:szCs w:val="21"/>
          <w:highlight w:val="none"/>
        </w:rPr>
        <w:t>不通过</w:t>
      </w:r>
      <w:r>
        <w:rPr>
          <w:rFonts w:ascii="Calibri" w:hAnsi="Calibri"/>
          <w:szCs w:val="21"/>
          <w:highlight w:val="none"/>
        </w:rPr>
        <w:t>”</w:t>
      </w:r>
      <w:r>
        <w:rPr>
          <w:rFonts w:ascii="Calibri" w:hAnsi="宋体"/>
          <w:szCs w:val="21"/>
          <w:highlight w:val="none"/>
        </w:rPr>
        <w:t>，只有逐条通过</w:t>
      </w:r>
      <w:r>
        <w:rPr>
          <w:rFonts w:ascii="宋体" w:hAnsi="宋体"/>
          <w:bCs/>
          <w:szCs w:val="21"/>
          <w:highlight w:val="none"/>
        </w:rPr>
        <w:t>《符合性检查表》</w:t>
      </w:r>
      <w:r>
        <w:rPr>
          <w:rFonts w:ascii="Calibri" w:hAnsi="宋体"/>
          <w:szCs w:val="21"/>
          <w:highlight w:val="none"/>
        </w:rPr>
        <w:t>各项检查的投标方能进入下一阶段的评标，否则将导致其投标被废标。</w:t>
      </w:r>
    </w:p>
    <w:p>
      <w:pPr>
        <w:spacing w:line="440" w:lineRule="exact"/>
        <w:ind w:firstLine="422" w:firstLineChars="200"/>
        <w:rPr>
          <w:rFonts w:ascii="宋体" w:hAnsi="宋体"/>
          <w:b/>
          <w:szCs w:val="21"/>
          <w:highlight w:val="none"/>
        </w:rPr>
      </w:pPr>
      <w:r>
        <w:rPr>
          <w:rFonts w:hint="eastAsia" w:ascii="宋体" w:hAnsi="宋体"/>
          <w:b/>
          <w:szCs w:val="21"/>
          <w:highlight w:val="none"/>
        </w:rPr>
        <w:t>2、</w:t>
      </w:r>
      <w:r>
        <w:rPr>
          <w:rFonts w:ascii="宋体" w:hAnsi="宋体"/>
          <w:b/>
          <w:szCs w:val="21"/>
          <w:highlight w:val="none"/>
        </w:rPr>
        <w:t>商务</w:t>
      </w:r>
      <w:r>
        <w:rPr>
          <w:rFonts w:hint="eastAsia" w:ascii="宋体" w:hAnsi="宋体"/>
          <w:b/>
          <w:szCs w:val="21"/>
          <w:highlight w:val="none"/>
        </w:rPr>
        <w:t>、</w:t>
      </w:r>
      <w:r>
        <w:rPr>
          <w:rFonts w:ascii="宋体" w:hAnsi="宋体"/>
          <w:b/>
          <w:szCs w:val="21"/>
          <w:highlight w:val="none"/>
        </w:rPr>
        <w:t>技术及价格评议</w:t>
      </w:r>
    </w:p>
    <w:p>
      <w:pPr>
        <w:spacing w:line="440" w:lineRule="exact"/>
        <w:ind w:firstLine="420" w:firstLineChars="200"/>
        <w:rPr>
          <w:rFonts w:ascii="宋体" w:hAnsi="宋体"/>
          <w:szCs w:val="21"/>
          <w:highlight w:val="none"/>
        </w:rPr>
      </w:pPr>
      <w:r>
        <w:rPr>
          <w:rFonts w:hint="eastAsia" w:ascii="宋体" w:hAnsi="宋体"/>
          <w:szCs w:val="21"/>
          <w:highlight w:val="none"/>
        </w:rPr>
        <w:t>（1）</w:t>
      </w:r>
      <w:r>
        <w:rPr>
          <w:rFonts w:ascii="宋体" w:hAnsi="宋体"/>
          <w:szCs w:val="21"/>
          <w:highlight w:val="none"/>
        </w:rPr>
        <w:t>评标委员会根据《</w:t>
      </w:r>
      <w:r>
        <w:rPr>
          <w:rFonts w:hint="eastAsia" w:ascii="宋体" w:hAnsi="宋体"/>
          <w:szCs w:val="21"/>
          <w:highlight w:val="none"/>
        </w:rPr>
        <w:t>评分表</w:t>
      </w:r>
      <w:r>
        <w:rPr>
          <w:rFonts w:ascii="宋体" w:hAnsi="宋体"/>
          <w:szCs w:val="21"/>
          <w:highlight w:val="none"/>
        </w:rPr>
        <w:t>》的内容和标准，对通过</w:t>
      </w:r>
      <w:r>
        <w:rPr>
          <w:rFonts w:hint="eastAsia" w:ascii="宋体" w:hAnsi="宋体"/>
          <w:bCs/>
          <w:szCs w:val="21"/>
          <w:highlight w:val="none"/>
        </w:rPr>
        <w:t>资格性和</w:t>
      </w:r>
      <w:r>
        <w:rPr>
          <w:rFonts w:ascii="宋体" w:hAnsi="宋体"/>
          <w:bCs/>
          <w:szCs w:val="21"/>
          <w:highlight w:val="none"/>
        </w:rPr>
        <w:t>符合性</w:t>
      </w:r>
      <w:r>
        <w:rPr>
          <w:rFonts w:ascii="宋体" w:hAnsi="宋体"/>
          <w:szCs w:val="21"/>
          <w:highlight w:val="none"/>
        </w:rPr>
        <w:t>检查的投标进行商务</w:t>
      </w:r>
      <w:r>
        <w:rPr>
          <w:rFonts w:hint="eastAsia" w:ascii="宋体" w:hAnsi="宋体"/>
          <w:szCs w:val="21"/>
          <w:highlight w:val="none"/>
        </w:rPr>
        <w:t>、</w:t>
      </w:r>
      <w:r>
        <w:rPr>
          <w:rFonts w:ascii="宋体" w:hAnsi="宋体"/>
          <w:szCs w:val="21"/>
          <w:highlight w:val="none"/>
        </w:rPr>
        <w:t>技术</w:t>
      </w:r>
      <w:r>
        <w:rPr>
          <w:rFonts w:hint="eastAsia" w:ascii="宋体" w:hAnsi="宋体"/>
          <w:szCs w:val="21"/>
          <w:highlight w:val="none"/>
        </w:rPr>
        <w:t>及价格</w:t>
      </w:r>
      <w:r>
        <w:rPr>
          <w:rFonts w:ascii="宋体" w:hAnsi="宋体"/>
          <w:szCs w:val="21"/>
          <w:highlight w:val="none"/>
        </w:rPr>
        <w:t>评议。</w:t>
      </w:r>
    </w:p>
    <w:p>
      <w:pPr>
        <w:spacing w:line="440" w:lineRule="exact"/>
        <w:ind w:firstLine="420" w:firstLineChars="200"/>
        <w:rPr>
          <w:rFonts w:ascii="Calibri" w:hAnsi="Calibri"/>
          <w:szCs w:val="21"/>
          <w:highlight w:val="none"/>
        </w:rPr>
      </w:pPr>
      <w:r>
        <w:rPr>
          <w:rFonts w:hint="eastAsia" w:ascii="宋体" w:hAnsi="宋体"/>
          <w:szCs w:val="21"/>
          <w:highlight w:val="none"/>
        </w:rPr>
        <w:t>（2）</w:t>
      </w:r>
      <w:r>
        <w:rPr>
          <w:rFonts w:ascii="宋体" w:hAnsi="宋体"/>
          <w:szCs w:val="21"/>
          <w:highlight w:val="none"/>
        </w:rPr>
        <w:t>评</w:t>
      </w:r>
      <w:r>
        <w:rPr>
          <w:rFonts w:ascii="Calibri" w:hAnsi="宋体"/>
          <w:szCs w:val="21"/>
          <w:highlight w:val="none"/>
        </w:rPr>
        <w:t>标委员会将对照招标文件中的商务、技术需求条款和投标文件中的商务、技术条款响应进行评议</w:t>
      </w:r>
      <w:r>
        <w:rPr>
          <w:rFonts w:hint="eastAsia" w:ascii="Calibri" w:hAnsi="宋体"/>
          <w:szCs w:val="21"/>
          <w:highlight w:val="none"/>
        </w:rPr>
        <w:t>；</w:t>
      </w:r>
      <w:r>
        <w:rPr>
          <w:rFonts w:ascii="Calibri" w:hAnsi="宋体"/>
          <w:szCs w:val="21"/>
          <w:highlight w:val="none"/>
        </w:rPr>
        <w:t>评标委员会成员将按照《</w:t>
      </w:r>
      <w:r>
        <w:rPr>
          <w:rFonts w:hint="eastAsia" w:ascii="Calibri" w:hAnsi="宋体"/>
          <w:szCs w:val="21"/>
          <w:highlight w:val="none"/>
        </w:rPr>
        <w:t>评分表</w:t>
      </w:r>
      <w:r>
        <w:rPr>
          <w:rFonts w:ascii="Calibri" w:hAnsi="宋体"/>
          <w:szCs w:val="21"/>
          <w:highlight w:val="none"/>
        </w:rPr>
        <w:t>》确定的</w:t>
      </w:r>
      <w:r>
        <w:rPr>
          <w:rFonts w:hint="eastAsia" w:ascii="Calibri" w:hAnsi="宋体"/>
          <w:szCs w:val="21"/>
          <w:highlight w:val="none"/>
        </w:rPr>
        <w:t>分值</w:t>
      </w:r>
      <w:r>
        <w:rPr>
          <w:rFonts w:ascii="Calibri" w:hAnsi="宋体"/>
          <w:szCs w:val="21"/>
          <w:highlight w:val="none"/>
        </w:rPr>
        <w:t>独立对每个投标的商务</w:t>
      </w:r>
      <w:r>
        <w:rPr>
          <w:rFonts w:hint="eastAsia" w:ascii="Calibri" w:hAnsi="宋体"/>
          <w:szCs w:val="21"/>
          <w:highlight w:val="none"/>
        </w:rPr>
        <w:t>、</w:t>
      </w:r>
      <w:r>
        <w:rPr>
          <w:rFonts w:ascii="Calibri" w:hAnsi="宋体"/>
          <w:szCs w:val="21"/>
          <w:highlight w:val="none"/>
        </w:rPr>
        <w:t>技术</w:t>
      </w:r>
      <w:r>
        <w:rPr>
          <w:rFonts w:hint="eastAsia" w:ascii="Calibri" w:hAnsi="宋体"/>
          <w:szCs w:val="21"/>
          <w:highlight w:val="none"/>
        </w:rPr>
        <w:t>及价格</w:t>
      </w:r>
      <w:r>
        <w:rPr>
          <w:rFonts w:ascii="Calibri" w:hAnsi="宋体"/>
          <w:szCs w:val="21"/>
          <w:highlight w:val="none"/>
        </w:rPr>
        <w:t>部分以打分的方式进行评议。</w:t>
      </w:r>
    </w:p>
    <w:p>
      <w:pPr>
        <w:spacing w:line="440" w:lineRule="exact"/>
        <w:ind w:firstLine="422" w:firstLineChars="200"/>
        <w:rPr>
          <w:rFonts w:ascii="Calibri" w:hAnsi="Calibri"/>
          <w:b/>
          <w:szCs w:val="21"/>
          <w:highlight w:val="none"/>
        </w:rPr>
      </w:pPr>
      <w:r>
        <w:rPr>
          <w:rFonts w:hint="eastAsia" w:ascii="宋体" w:hAnsi="宋体"/>
          <w:b/>
          <w:szCs w:val="21"/>
          <w:highlight w:val="none"/>
        </w:rPr>
        <w:t>3、</w:t>
      </w:r>
      <w:r>
        <w:rPr>
          <w:rFonts w:ascii="Calibri" w:hAnsi="宋体"/>
          <w:b/>
          <w:szCs w:val="21"/>
          <w:highlight w:val="none"/>
        </w:rPr>
        <w:t>中标</w:t>
      </w:r>
      <w:r>
        <w:rPr>
          <w:rFonts w:hint="eastAsia" w:ascii="Calibri" w:hAnsi="宋体"/>
          <w:b/>
          <w:szCs w:val="21"/>
          <w:highlight w:val="none"/>
        </w:rPr>
        <w:t>单位</w:t>
      </w:r>
      <w:r>
        <w:rPr>
          <w:rFonts w:ascii="Calibri" w:hAnsi="宋体"/>
          <w:b/>
          <w:szCs w:val="21"/>
          <w:highlight w:val="none"/>
        </w:rPr>
        <w:t>的确定</w:t>
      </w:r>
    </w:p>
    <w:p>
      <w:pPr>
        <w:spacing w:line="440" w:lineRule="exact"/>
        <w:ind w:firstLine="422" w:firstLineChars="200"/>
        <w:rPr>
          <w:rFonts w:ascii="宋体" w:hAnsi="宋体"/>
          <w:b/>
          <w:szCs w:val="21"/>
          <w:highlight w:val="none"/>
        </w:rPr>
      </w:pPr>
      <w:r>
        <w:rPr>
          <w:rFonts w:hint="eastAsia" w:ascii="宋体" w:hAnsi="宋体"/>
          <w:b/>
          <w:szCs w:val="21"/>
          <w:highlight w:val="none"/>
        </w:rPr>
        <w:t xml:space="preserve">3.1  </w:t>
      </w:r>
      <w:r>
        <w:rPr>
          <w:rFonts w:hint="eastAsia" w:ascii="宋体" w:hAnsi="宋体"/>
          <w:b/>
          <w:bCs/>
          <w:szCs w:val="21"/>
          <w:highlight w:val="none"/>
        </w:rPr>
        <w:t>候选中标供应商推荐</w:t>
      </w:r>
    </w:p>
    <w:p>
      <w:pPr>
        <w:spacing w:line="440" w:lineRule="exact"/>
        <w:ind w:firstLine="420" w:firstLineChars="200"/>
        <w:rPr>
          <w:rFonts w:ascii="宋体" w:hAnsi="宋体"/>
          <w:bCs/>
          <w:szCs w:val="21"/>
          <w:highlight w:val="none"/>
        </w:rPr>
      </w:pPr>
      <w:r>
        <w:rPr>
          <w:rFonts w:hint="eastAsia" w:ascii="宋体" w:hAnsi="宋体"/>
          <w:bCs/>
          <w:szCs w:val="21"/>
          <w:highlight w:val="none"/>
        </w:rPr>
        <w:t>（1）每个投标单位的评标总得分以</w:t>
      </w:r>
      <w:r>
        <w:rPr>
          <w:rFonts w:hint="eastAsia" w:ascii="宋体" w:hAnsi="宋体"/>
          <w:szCs w:val="21"/>
          <w:highlight w:val="none"/>
        </w:rPr>
        <w:t>所有评标委员会成员的独立评分汇总</w:t>
      </w:r>
      <w:r>
        <w:rPr>
          <w:rFonts w:hint="eastAsia" w:ascii="宋体" w:hAnsi="宋体"/>
          <w:bCs/>
          <w:szCs w:val="21"/>
          <w:highlight w:val="none"/>
        </w:rPr>
        <w:t>后确定，</w:t>
      </w:r>
      <w:r>
        <w:rPr>
          <w:rFonts w:ascii="宋体" w:hAnsi="宋体"/>
          <w:bCs/>
          <w:szCs w:val="21"/>
          <w:highlight w:val="none"/>
        </w:rPr>
        <w:t>评标总得分相同的，按投标报价由低到高顺序排列；评标总得分且投标报价相同的，按技术指标</w:t>
      </w:r>
      <w:r>
        <w:rPr>
          <w:rFonts w:hint="eastAsia" w:ascii="宋体" w:hAnsi="宋体"/>
          <w:bCs/>
          <w:szCs w:val="21"/>
          <w:highlight w:val="none"/>
        </w:rPr>
        <w:t>（技术部分）</w:t>
      </w:r>
      <w:r>
        <w:rPr>
          <w:rFonts w:ascii="宋体" w:hAnsi="宋体"/>
          <w:bCs/>
          <w:szCs w:val="21"/>
          <w:highlight w:val="none"/>
        </w:rPr>
        <w:t>得分优劣顺序排列</w:t>
      </w:r>
      <w:r>
        <w:rPr>
          <w:rFonts w:hint="eastAsia" w:ascii="Calibri" w:hAnsi="宋体"/>
          <w:szCs w:val="21"/>
          <w:highlight w:val="none"/>
        </w:rPr>
        <w:t>；如</w:t>
      </w:r>
      <w:r>
        <w:rPr>
          <w:rFonts w:ascii="Calibri" w:hAnsi="宋体"/>
          <w:szCs w:val="21"/>
          <w:highlight w:val="none"/>
        </w:rPr>
        <w:t>技术指标</w:t>
      </w:r>
      <w:r>
        <w:rPr>
          <w:rFonts w:hint="eastAsia" w:ascii="Calibri" w:hAnsi="宋体"/>
          <w:szCs w:val="21"/>
          <w:highlight w:val="none"/>
        </w:rPr>
        <w:t>（技术部分）</w:t>
      </w:r>
      <w:r>
        <w:rPr>
          <w:rFonts w:ascii="Calibri" w:hAnsi="宋体"/>
          <w:szCs w:val="21"/>
          <w:highlight w:val="none"/>
        </w:rPr>
        <w:t>得分</w:t>
      </w:r>
      <w:r>
        <w:rPr>
          <w:rFonts w:hint="eastAsia" w:ascii="Calibri" w:hAnsi="宋体"/>
          <w:szCs w:val="21"/>
          <w:highlight w:val="none"/>
        </w:rPr>
        <w:t>仍然相同的，则采用抽签方式确定排序，</w:t>
      </w:r>
      <w:r>
        <w:rPr>
          <w:rFonts w:hint="eastAsia" w:asciiTheme="minorEastAsia" w:hAnsiTheme="minorEastAsia" w:eastAsiaTheme="minorEastAsia"/>
          <w:szCs w:val="21"/>
          <w:highlight w:val="none"/>
        </w:rPr>
        <w:t>具体操作办法及流程由评标委员会确定</w:t>
      </w:r>
      <w:r>
        <w:rPr>
          <w:rFonts w:ascii="宋体" w:hAnsi="宋体"/>
          <w:bCs/>
          <w:szCs w:val="21"/>
          <w:highlight w:val="none"/>
        </w:rPr>
        <w:t>。</w:t>
      </w:r>
    </w:p>
    <w:p>
      <w:pPr>
        <w:spacing w:line="440" w:lineRule="exact"/>
        <w:ind w:firstLine="420" w:firstLineChars="200"/>
        <w:rPr>
          <w:szCs w:val="21"/>
          <w:highlight w:val="none"/>
        </w:rPr>
      </w:pPr>
      <w:r>
        <w:rPr>
          <w:rFonts w:hint="eastAsia" w:ascii="宋体" w:hAnsi="宋体"/>
          <w:bCs/>
          <w:szCs w:val="21"/>
          <w:highlight w:val="none"/>
        </w:rPr>
        <w:t>（2）评标委员会按照综合评分的排名结果推荐中标候选供应商，</w:t>
      </w:r>
      <w:r>
        <w:rPr>
          <w:rFonts w:hint="eastAsia" w:ascii="宋体" w:hAnsi="宋体"/>
          <w:szCs w:val="21"/>
          <w:highlight w:val="none"/>
        </w:rPr>
        <w:t>排名前三的投标单位</w:t>
      </w:r>
      <w:r>
        <w:rPr>
          <w:rFonts w:hint="eastAsia" w:ascii="宋体" w:hAnsi="宋体"/>
          <w:bCs/>
          <w:szCs w:val="21"/>
          <w:highlight w:val="none"/>
        </w:rPr>
        <w:t>作为推荐的候选中标供应商（排名不分先后）。</w:t>
      </w:r>
    </w:p>
    <w:p>
      <w:pPr>
        <w:spacing w:line="440" w:lineRule="exact"/>
        <w:ind w:firstLine="422" w:firstLineChars="200"/>
        <w:rPr>
          <w:rFonts w:ascii="宋体" w:hAnsi="宋体"/>
          <w:b/>
          <w:bCs/>
          <w:szCs w:val="21"/>
          <w:highlight w:val="none"/>
        </w:rPr>
      </w:pPr>
      <w:r>
        <w:rPr>
          <w:rFonts w:hint="eastAsia" w:ascii="宋体" w:hAnsi="宋体"/>
          <w:b/>
          <w:bCs/>
          <w:szCs w:val="21"/>
          <w:highlight w:val="none"/>
        </w:rPr>
        <w:t>3.2  定标</w:t>
      </w:r>
    </w:p>
    <w:p>
      <w:pPr>
        <w:spacing w:line="440" w:lineRule="exact"/>
        <w:ind w:firstLine="420" w:firstLineChars="200"/>
        <w:rPr>
          <w:rFonts w:ascii="宋体" w:hAnsi="宋体"/>
          <w:bCs/>
          <w:szCs w:val="21"/>
          <w:highlight w:val="none"/>
        </w:rPr>
      </w:pPr>
      <w:r>
        <w:rPr>
          <w:rFonts w:hint="eastAsia" w:ascii="宋体" w:hAnsi="宋体"/>
          <w:bCs/>
          <w:szCs w:val="21"/>
          <w:highlight w:val="none"/>
        </w:rPr>
        <w:t>采购单位从评标委员会推荐的候选中标供应商中，</w:t>
      </w:r>
      <w:r>
        <w:rPr>
          <w:rFonts w:ascii="宋体" w:hAnsi="宋体"/>
          <w:bCs/>
          <w:szCs w:val="21"/>
          <w:highlight w:val="none"/>
        </w:rPr>
        <w:t>采用</w:t>
      </w:r>
      <w:r>
        <w:rPr>
          <w:rFonts w:ascii="宋体" w:hAnsi="宋体"/>
          <w:b/>
          <w:bCs/>
          <w:szCs w:val="21"/>
          <w:highlight w:val="none"/>
        </w:rPr>
        <w:t>自定法</w:t>
      </w:r>
      <w:r>
        <w:rPr>
          <w:rFonts w:hint="eastAsia" w:ascii="宋体" w:hAnsi="宋体"/>
          <w:bCs/>
          <w:szCs w:val="21"/>
          <w:highlight w:val="none"/>
        </w:rPr>
        <w:t>自行选择确定一名中标单位，具体操作程序按照《深圳市政府采购评标定标分离管理办法》要求执行。</w:t>
      </w:r>
    </w:p>
    <w:p>
      <w:pPr>
        <w:spacing w:line="440" w:lineRule="exact"/>
        <w:ind w:firstLine="386" w:firstLineChars="183"/>
        <w:rPr>
          <w:rFonts w:ascii="宋体" w:hAnsi="宋体"/>
          <w:b/>
          <w:szCs w:val="21"/>
          <w:highlight w:val="none"/>
        </w:rPr>
      </w:pPr>
      <w:r>
        <w:rPr>
          <w:rFonts w:hint="eastAsia" w:ascii="宋体" w:hAnsi="宋体"/>
          <w:b/>
          <w:szCs w:val="21"/>
          <w:highlight w:val="none"/>
        </w:rPr>
        <w:t>4、质疑投诉处理：</w:t>
      </w:r>
      <w:r>
        <w:rPr>
          <w:rFonts w:hint="eastAsia" w:ascii="宋体" w:hAnsi="宋体"/>
          <w:szCs w:val="21"/>
          <w:highlight w:val="none"/>
        </w:rPr>
        <w:t>确定中标单位后出现质疑投诉的，按照以下程序进行处理：（1）中标单位因质疑、投诉等问题被取消或</w:t>
      </w:r>
      <w:r>
        <w:rPr>
          <w:rFonts w:ascii="宋体" w:hAnsi="宋体"/>
          <w:szCs w:val="21"/>
          <w:highlight w:val="none"/>
        </w:rPr>
        <w:t>放弃</w:t>
      </w:r>
      <w:r>
        <w:rPr>
          <w:rFonts w:hint="eastAsia" w:ascii="宋体" w:hAnsi="宋体"/>
          <w:szCs w:val="21"/>
          <w:highlight w:val="none"/>
        </w:rPr>
        <w:t>候选中标资格，候选</w:t>
      </w:r>
      <w:r>
        <w:rPr>
          <w:rFonts w:ascii="宋体" w:hAnsi="宋体"/>
          <w:szCs w:val="21"/>
          <w:highlight w:val="none"/>
        </w:rPr>
        <w:t>中标</w:t>
      </w:r>
      <w:r>
        <w:rPr>
          <w:rFonts w:hint="eastAsia" w:ascii="宋体" w:hAnsi="宋体"/>
          <w:szCs w:val="21"/>
          <w:highlight w:val="none"/>
        </w:rPr>
        <w:t>供应商</w:t>
      </w:r>
      <w:r>
        <w:rPr>
          <w:rFonts w:ascii="宋体" w:hAnsi="宋体"/>
          <w:szCs w:val="21"/>
          <w:highlight w:val="none"/>
        </w:rPr>
        <w:t>不再</w:t>
      </w:r>
      <w:r>
        <w:rPr>
          <w:rFonts w:hint="eastAsia" w:ascii="宋体" w:hAnsi="宋体"/>
          <w:szCs w:val="21"/>
          <w:highlight w:val="none"/>
        </w:rPr>
        <w:t>替补</w:t>
      </w:r>
      <w:r>
        <w:rPr>
          <w:rFonts w:ascii="宋体" w:hAnsi="宋体"/>
          <w:szCs w:val="21"/>
          <w:highlight w:val="none"/>
        </w:rPr>
        <w:t>，</w:t>
      </w:r>
      <w:r>
        <w:rPr>
          <w:rFonts w:hint="eastAsia" w:ascii="宋体" w:hAnsi="宋体"/>
          <w:szCs w:val="21"/>
          <w:highlight w:val="none"/>
        </w:rPr>
        <w:t>如有效</w:t>
      </w:r>
      <w:r>
        <w:rPr>
          <w:rFonts w:ascii="宋体" w:hAnsi="宋体"/>
          <w:szCs w:val="21"/>
          <w:highlight w:val="none"/>
        </w:rPr>
        <w:t>投标</w:t>
      </w:r>
      <w:r>
        <w:rPr>
          <w:rFonts w:hint="eastAsia" w:ascii="宋体" w:hAnsi="宋体"/>
          <w:szCs w:val="21"/>
          <w:highlight w:val="none"/>
        </w:rPr>
        <w:t>供应商满足</w:t>
      </w:r>
      <w:r>
        <w:rPr>
          <w:rFonts w:ascii="宋体" w:hAnsi="宋体"/>
          <w:szCs w:val="21"/>
          <w:highlight w:val="none"/>
        </w:rPr>
        <w:t>法定数量</w:t>
      </w:r>
      <w:r>
        <w:rPr>
          <w:rFonts w:hint="eastAsia" w:ascii="宋体" w:hAnsi="宋体"/>
          <w:szCs w:val="21"/>
          <w:highlight w:val="none"/>
        </w:rPr>
        <w:t>，可按</w:t>
      </w:r>
      <w:r>
        <w:rPr>
          <w:rFonts w:ascii="宋体" w:hAnsi="宋体"/>
          <w:szCs w:val="21"/>
          <w:highlight w:val="none"/>
        </w:rPr>
        <w:t>相关规定</w:t>
      </w:r>
      <w:r>
        <w:rPr>
          <w:rFonts w:hint="eastAsia" w:ascii="宋体" w:hAnsi="宋体"/>
          <w:szCs w:val="21"/>
          <w:highlight w:val="none"/>
        </w:rPr>
        <w:t>在</w:t>
      </w:r>
      <w:r>
        <w:rPr>
          <w:rFonts w:ascii="宋体" w:hAnsi="宋体"/>
          <w:szCs w:val="21"/>
          <w:highlight w:val="none"/>
        </w:rPr>
        <w:t>其他</w:t>
      </w:r>
      <w:r>
        <w:rPr>
          <w:rFonts w:hint="eastAsia" w:ascii="宋体" w:hAnsi="宋体"/>
          <w:szCs w:val="21"/>
          <w:highlight w:val="none"/>
        </w:rPr>
        <w:t>候选</w:t>
      </w:r>
      <w:r>
        <w:rPr>
          <w:rFonts w:ascii="宋体" w:hAnsi="宋体"/>
          <w:szCs w:val="21"/>
          <w:highlight w:val="none"/>
        </w:rPr>
        <w:t>中标</w:t>
      </w:r>
      <w:r>
        <w:rPr>
          <w:rFonts w:hint="eastAsia" w:ascii="宋体" w:hAnsi="宋体"/>
          <w:szCs w:val="21"/>
          <w:highlight w:val="none"/>
        </w:rPr>
        <w:t>供应商中另行</w:t>
      </w:r>
      <w:r>
        <w:rPr>
          <w:rFonts w:ascii="宋体" w:hAnsi="宋体"/>
          <w:szCs w:val="21"/>
          <w:highlight w:val="none"/>
        </w:rPr>
        <w:t>确定中标</w:t>
      </w:r>
      <w:r>
        <w:rPr>
          <w:rFonts w:hint="eastAsia" w:ascii="宋体" w:hAnsi="宋体"/>
          <w:szCs w:val="21"/>
          <w:highlight w:val="none"/>
        </w:rPr>
        <w:t>单位</w:t>
      </w:r>
      <w:r>
        <w:rPr>
          <w:rFonts w:ascii="宋体" w:hAnsi="宋体"/>
          <w:szCs w:val="21"/>
          <w:highlight w:val="none"/>
        </w:rPr>
        <w:t>，或者</w:t>
      </w:r>
      <w:r>
        <w:rPr>
          <w:rFonts w:hint="eastAsia" w:ascii="宋体" w:hAnsi="宋体"/>
          <w:szCs w:val="21"/>
          <w:highlight w:val="none"/>
        </w:rPr>
        <w:t>重新组织招标；（2）候选中标供应商因质疑、投诉等问题被取消候选中标资格，如有效</w:t>
      </w:r>
      <w:r>
        <w:rPr>
          <w:rFonts w:ascii="宋体" w:hAnsi="宋体"/>
          <w:szCs w:val="21"/>
          <w:highlight w:val="none"/>
        </w:rPr>
        <w:t>投标</w:t>
      </w:r>
      <w:r>
        <w:rPr>
          <w:rFonts w:hint="eastAsia" w:ascii="宋体" w:hAnsi="宋体"/>
          <w:szCs w:val="21"/>
          <w:highlight w:val="none"/>
        </w:rPr>
        <w:t>供应商满足</w:t>
      </w:r>
      <w:r>
        <w:rPr>
          <w:rFonts w:ascii="宋体" w:hAnsi="宋体"/>
          <w:szCs w:val="21"/>
          <w:highlight w:val="none"/>
        </w:rPr>
        <w:t>法定数量</w:t>
      </w:r>
      <w:r>
        <w:rPr>
          <w:rFonts w:hint="eastAsia" w:ascii="宋体" w:hAnsi="宋体"/>
          <w:szCs w:val="21"/>
          <w:highlight w:val="none"/>
        </w:rPr>
        <w:t>，则维持原中标结果；如有效</w:t>
      </w:r>
      <w:r>
        <w:rPr>
          <w:rFonts w:ascii="宋体" w:hAnsi="宋体"/>
          <w:szCs w:val="21"/>
          <w:highlight w:val="none"/>
        </w:rPr>
        <w:t>投标</w:t>
      </w:r>
      <w:r>
        <w:rPr>
          <w:rFonts w:hint="eastAsia" w:ascii="宋体" w:hAnsi="宋体"/>
          <w:szCs w:val="21"/>
          <w:highlight w:val="none"/>
        </w:rPr>
        <w:t>供应商不足</w:t>
      </w:r>
      <w:r>
        <w:rPr>
          <w:rFonts w:ascii="宋体" w:hAnsi="宋体"/>
          <w:szCs w:val="21"/>
          <w:highlight w:val="none"/>
        </w:rPr>
        <w:t>法定数量</w:t>
      </w:r>
      <w:r>
        <w:rPr>
          <w:rFonts w:hint="eastAsia" w:ascii="宋体" w:hAnsi="宋体"/>
          <w:szCs w:val="21"/>
          <w:highlight w:val="none"/>
        </w:rPr>
        <w:t>，则该项目作废标处理，重新组织招标。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MS Mincho">
    <w:altName w:val="Yu Gothic UI"/>
    <w:panose1 w:val="02020609040205080304"/>
    <w:charset w:val="80"/>
    <w:family w:val="moder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097843"/>
    <w:multiLevelType w:val="singleLevel"/>
    <w:tmpl w:val="EA097843"/>
    <w:lvl w:ilvl="0" w:tentative="0">
      <w:start w:val="3"/>
      <w:numFmt w:val="chineseCounting"/>
      <w:suff w:val="space"/>
      <w:lvlText w:val="第%1节"/>
      <w:lvlJc w:val="left"/>
      <w:rPr>
        <w:rFonts w:hint="eastAsia"/>
      </w:rPr>
    </w:lvl>
  </w:abstractNum>
  <w:abstractNum w:abstractNumId="1">
    <w:nsid w:val="2A8A216A"/>
    <w:multiLevelType w:val="multilevel"/>
    <w:tmpl w:val="2A8A216A"/>
    <w:lvl w:ilvl="0" w:tentative="0">
      <w:start w:val="1"/>
      <w:numFmt w:val="bullet"/>
      <w:lvlText w:val=""/>
      <w:lvlJc w:val="left"/>
      <w:pPr>
        <w:ind w:left="842" w:hanging="420"/>
      </w:pPr>
      <w:rPr>
        <w:rFonts w:hint="default" w:ascii="Wingdings" w:hAnsi="Wingdings"/>
      </w:rPr>
    </w:lvl>
    <w:lvl w:ilvl="1" w:tentative="0">
      <w:start w:val="1"/>
      <w:numFmt w:val="bullet"/>
      <w:lvlText w:val=""/>
      <w:lvlJc w:val="left"/>
      <w:pPr>
        <w:ind w:left="1262" w:hanging="420"/>
      </w:pPr>
      <w:rPr>
        <w:rFonts w:hint="default" w:ascii="Wingdings" w:hAnsi="Wingdings"/>
      </w:rPr>
    </w:lvl>
    <w:lvl w:ilvl="2" w:tentative="0">
      <w:start w:val="1"/>
      <w:numFmt w:val="bullet"/>
      <w:lvlText w:val=""/>
      <w:lvlJc w:val="left"/>
      <w:pPr>
        <w:ind w:left="1682" w:hanging="420"/>
      </w:pPr>
      <w:rPr>
        <w:rFonts w:hint="default" w:ascii="Wingdings" w:hAnsi="Wingdings"/>
      </w:rPr>
    </w:lvl>
    <w:lvl w:ilvl="3" w:tentative="0">
      <w:start w:val="1"/>
      <w:numFmt w:val="bullet"/>
      <w:lvlText w:val=""/>
      <w:lvlJc w:val="left"/>
      <w:pPr>
        <w:ind w:left="2102" w:hanging="420"/>
      </w:pPr>
      <w:rPr>
        <w:rFonts w:hint="default" w:ascii="Wingdings" w:hAnsi="Wingdings"/>
      </w:rPr>
    </w:lvl>
    <w:lvl w:ilvl="4" w:tentative="0">
      <w:start w:val="1"/>
      <w:numFmt w:val="bullet"/>
      <w:lvlText w:val=""/>
      <w:lvlJc w:val="left"/>
      <w:pPr>
        <w:ind w:left="2522" w:hanging="420"/>
      </w:pPr>
      <w:rPr>
        <w:rFonts w:hint="default" w:ascii="Wingdings" w:hAnsi="Wingdings"/>
      </w:rPr>
    </w:lvl>
    <w:lvl w:ilvl="5" w:tentative="0">
      <w:start w:val="1"/>
      <w:numFmt w:val="bullet"/>
      <w:lvlText w:val=""/>
      <w:lvlJc w:val="left"/>
      <w:pPr>
        <w:ind w:left="2942" w:hanging="420"/>
      </w:pPr>
      <w:rPr>
        <w:rFonts w:hint="default" w:ascii="Wingdings" w:hAnsi="Wingdings"/>
      </w:rPr>
    </w:lvl>
    <w:lvl w:ilvl="6" w:tentative="0">
      <w:start w:val="1"/>
      <w:numFmt w:val="bullet"/>
      <w:lvlText w:val=""/>
      <w:lvlJc w:val="left"/>
      <w:pPr>
        <w:ind w:left="3362" w:hanging="420"/>
      </w:pPr>
      <w:rPr>
        <w:rFonts w:hint="default" w:ascii="Wingdings" w:hAnsi="Wingdings"/>
      </w:rPr>
    </w:lvl>
    <w:lvl w:ilvl="7" w:tentative="0">
      <w:start w:val="1"/>
      <w:numFmt w:val="bullet"/>
      <w:lvlText w:val=""/>
      <w:lvlJc w:val="left"/>
      <w:pPr>
        <w:ind w:left="3782" w:hanging="420"/>
      </w:pPr>
      <w:rPr>
        <w:rFonts w:hint="default" w:ascii="Wingdings" w:hAnsi="Wingdings"/>
      </w:rPr>
    </w:lvl>
    <w:lvl w:ilvl="8" w:tentative="0">
      <w:start w:val="1"/>
      <w:numFmt w:val="bullet"/>
      <w:lvlText w:val=""/>
      <w:lvlJc w:val="left"/>
      <w:pPr>
        <w:ind w:left="4202"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hODc2OTUwMWYzNDNjYmNkY2RiNmIyZWM5NjZlN2UifQ=="/>
  </w:docVars>
  <w:rsids>
    <w:rsidRoot w:val="00000000"/>
    <w:rsid w:val="44912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rFonts w:ascii="仿宋_GB2312" w:eastAsia="仿宋_GB2312"/>
      <w:sz w:val="32"/>
    </w:rPr>
  </w:style>
  <w:style w:type="paragraph" w:styleId="3">
    <w:name w:val="Body Text 3"/>
    <w:basedOn w:val="1"/>
    <w:qFormat/>
    <w:uiPriority w:val="0"/>
    <w:pPr>
      <w:spacing w:line="440" w:lineRule="exact"/>
    </w:pPr>
    <w:rPr>
      <w:rFonts w:eastAsia="仿宋_GB2312"/>
      <w:sz w:val="28"/>
    </w:rPr>
  </w:style>
  <w:style w:type="table" w:styleId="5">
    <w:name w:val="Table Grid"/>
    <w:basedOn w:val="4"/>
    <w:qFormat/>
    <w:uiPriority w:val="0"/>
    <w:rPr>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7">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2023-12-11T07:40:41Z</dcterms:created>
  <dc:creator>Administrator</dc:creator>
  <cp:lastModifiedBy>俞泓亚</cp:lastModifiedBy>
  <dcterms:modified xsi:type="dcterms:W3CDTF">2023-12-11T07:40:51Z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6F558582784D4A5892462B8D48A6DD2B_12</vt:lpwstr>
  </property>
</Properties>
</file>