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eastAsia="仿宋_GB2312"/>
          <w:sz w:val="32"/>
          <w:szCs w:val="32"/>
        </w:rPr>
        <w:t>招标编号：</w:t>
      </w:r>
      <w:r>
        <w:rPr>
          <w:rFonts w:ascii="仿宋_GB2312" w:eastAsia="仿宋_GB2312"/>
          <w:sz w:val="32"/>
          <w:szCs w:val="32"/>
        </w:rPr>
        <w:t>ZHZB2021023</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2022年深圳市残疾人辅助器具服务管理系统年度维护项目招标公告（第三次）</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1</w:t>
      </w:r>
      <w:r>
        <w:rPr>
          <w:rFonts w:hint="eastAsia" w:ascii="仿宋_GB2312" w:eastAsia="仿宋_GB2312"/>
          <w:sz w:val="32"/>
          <w:szCs w:val="32"/>
        </w:rPr>
        <w:t>.项目名称：2022年深圳市残疾人辅助器具服务管理系统年度维护项目</w:t>
      </w:r>
    </w:p>
    <w:p>
      <w:pPr>
        <w:ind w:firstLine="646" w:firstLineChars="202"/>
        <w:jc w:val="left"/>
        <w:rPr>
          <w:rFonts w:ascii="仿宋_GB2312" w:eastAsia="仿宋_GB2312"/>
          <w:sz w:val="32"/>
          <w:szCs w:val="32"/>
        </w:rPr>
      </w:pPr>
      <w:r>
        <w:rPr>
          <w:rFonts w:ascii="仿宋_GB2312" w:eastAsia="仿宋_GB2312"/>
          <w:sz w:val="32"/>
          <w:szCs w:val="32"/>
        </w:rPr>
        <w:t>2.预算金额：</w:t>
      </w:r>
      <w:r>
        <w:rPr>
          <w:rFonts w:hint="eastAsia" w:ascii="仿宋_GB2312" w:eastAsia="仿宋_GB2312"/>
          <w:sz w:val="32"/>
          <w:szCs w:val="32"/>
        </w:rPr>
        <w:t>9</w:t>
      </w:r>
      <w:r>
        <w:rPr>
          <w:rFonts w:ascii="仿宋_GB2312" w:eastAsia="仿宋_GB2312"/>
          <w:sz w:val="32"/>
          <w:szCs w:val="32"/>
        </w:rPr>
        <w:t>万元</w:t>
      </w:r>
    </w:p>
    <w:p>
      <w:pPr>
        <w:ind w:firstLine="646" w:firstLineChars="202"/>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9</w:t>
      </w:r>
      <w:r>
        <w:rPr>
          <w:rFonts w:ascii="仿宋_GB2312" w:eastAsia="仿宋_GB2312"/>
          <w:sz w:val="32"/>
          <w:szCs w:val="32"/>
        </w:rPr>
        <w:t>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rPr>
        <w:t>月</w:t>
      </w:r>
      <w:r>
        <w:rPr>
          <w:rFonts w:ascii="仿宋_GB2312" w:eastAsia="仿宋_GB2312"/>
          <w:snapToGrid w:val="0"/>
          <w:kern w:val="0"/>
          <w:sz w:val="32"/>
          <w:szCs w:val="32"/>
        </w:rPr>
        <w:t>12</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eastAsia="仿宋_GB2312"/>
          <w:snapToGrid w:val="0"/>
          <w:kern w:val="0"/>
          <w:sz w:val="32"/>
          <w:szCs w:val="32"/>
        </w:rPr>
        <w:t>831693</w:t>
      </w:r>
      <w:r>
        <w:rPr>
          <w:rFonts w:hint="eastAsia" w:ascii="仿宋_GB2312" w:eastAsia="仿宋_GB2312"/>
          <w:snapToGrid w:val="0"/>
          <w:kern w:val="0"/>
          <w:sz w:val="32"/>
          <w:szCs w:val="32"/>
        </w:rPr>
        <w:t>12）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14</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项目名称：2022年深圳市残疾人辅助器具服务管理系统年度维护项目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ZHZB2021023</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.项目名称：2022年深圳市残疾人辅助器具服务管理系统年度维护项目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宋体" w:eastAsia="仿宋_GB2312"/>
          <w:sz w:val="32"/>
          <w:szCs w:val="32"/>
        </w:rPr>
        <w:t>1</w:t>
      </w:r>
      <w:r>
        <w:rPr>
          <w:rFonts w:hint="eastAsia" w:ascii="仿宋_GB2312" w:hAnsi="华文仿宋" w:eastAsia="仿宋_GB2312"/>
          <w:sz w:val="32"/>
          <w:szCs w:val="32"/>
        </w:rPr>
        <w:t>月</w:t>
      </w:r>
      <w:r>
        <w:rPr>
          <w:rFonts w:ascii="仿宋_GB2312" w:hAnsi="宋体" w:eastAsia="仿宋_GB2312"/>
          <w:sz w:val="32"/>
          <w:szCs w:val="32"/>
        </w:rPr>
        <w:t>14</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37" w:name="_GoBack"/>
      <w:bookmarkEnd w:id="37"/>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rPr>
          <w:rFonts w:ascii="仿宋_GB2312" w:eastAsia="仿宋_GB2312"/>
          <w:sz w:val="32"/>
          <w:szCs w:val="32"/>
        </w:rPr>
      </w:pPr>
      <w:r>
        <w:rPr>
          <w:rFonts w:hint="eastAsia" w:ascii="仿宋_GB2312" w:eastAsia="仿宋_GB2312"/>
          <w:sz w:val="32"/>
          <w:szCs w:val="32"/>
        </w:rPr>
        <w:t>深圳市残疾人综合服务中心委托中标人对深圳市残疾人辅助器具服务管理系统进行2022年度维护，</w:t>
      </w:r>
      <w:r>
        <w:rPr>
          <w:rFonts w:hint="eastAsia" w:ascii="仿宋_GB2312" w:hAnsi="仿宋" w:eastAsia="仿宋_GB2312" w:cs="Times New Roman"/>
          <w:sz w:val="32"/>
          <w:szCs w:val="32"/>
        </w:rPr>
        <w:t>确保系统正常运作</w:t>
      </w:r>
      <w:r>
        <w:rPr>
          <w:rFonts w:hint="eastAsia" w:ascii="仿宋_GB2312" w:eastAsia="仿宋_GB2312"/>
          <w:sz w:val="32"/>
          <w:szCs w:val="32"/>
        </w:rPr>
        <w:t>。</w:t>
      </w:r>
    </w:p>
    <w:p>
      <w:pPr>
        <w:ind w:firstLine="640" w:firstLineChars="200"/>
        <w:rPr>
          <w:rFonts w:ascii="仿宋_GB2312" w:hAnsi="仿宋" w:eastAsia="仿宋_GB2312" w:cs="Arial"/>
          <w:bCs/>
          <w:kern w:val="0"/>
          <w:sz w:val="32"/>
          <w:szCs w:val="32"/>
        </w:rPr>
      </w:pPr>
      <w:r>
        <w:rPr>
          <w:rFonts w:hint="eastAsia" w:ascii="仿宋_GB2312" w:hAnsi="仿宋" w:eastAsia="仿宋_GB2312" w:cs="Arial"/>
          <w:bCs/>
          <w:kern w:val="0"/>
          <w:sz w:val="32"/>
          <w:szCs w:val="32"/>
        </w:rPr>
        <w:t>对系统数据进行管理，定期对系统程序及数据库进行备份。对系统进行安全防护、系统监控，定期对系统进行漏扫，及时修补系统BUG和升级硬件防护。并对</w:t>
      </w:r>
      <w:r>
        <w:rPr>
          <w:rFonts w:hint="eastAsia" w:ascii="仿宋_GB2312" w:eastAsia="仿宋_GB2312"/>
          <w:sz w:val="32"/>
          <w:szCs w:val="32"/>
        </w:rPr>
        <w:t>深圳市残疾人辅助器具服务管理系统服务器进行托管服务，预留足够系统稳定运行的空间，</w:t>
      </w:r>
      <w:r>
        <w:rPr>
          <w:rFonts w:hint="eastAsia" w:ascii="仿宋_GB2312" w:hAnsi="仿宋" w:eastAsia="仿宋_GB2312" w:cs="Arial"/>
          <w:bCs/>
          <w:kern w:val="0"/>
          <w:sz w:val="32"/>
          <w:szCs w:val="32"/>
        </w:rPr>
        <w:t>保证网站稳定正常运行。</w:t>
      </w:r>
      <w:r>
        <w:rPr>
          <w:rFonts w:hint="eastAsia" w:ascii="仿宋_GB2312" w:eastAsia="仿宋_GB2312"/>
          <w:sz w:val="32"/>
          <w:szCs w:val="32"/>
        </w:rPr>
        <w:t>对管理人员、操作人员、技术人员进行系统操作、测试、故障排除等相关方面的培训</w:t>
      </w:r>
      <w:r>
        <w:rPr>
          <w:rFonts w:hint="eastAsia" w:ascii="仿宋_GB2312" w:hAnsi="仿宋" w:eastAsia="仿宋_GB2312" w:cs="Arial"/>
          <w:bCs/>
          <w:kern w:val="0"/>
          <w:sz w:val="32"/>
          <w:szCs w:val="32"/>
        </w:rPr>
        <w:t>。</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二、服务期限</w:t>
      </w:r>
    </w:p>
    <w:p>
      <w:pPr>
        <w:ind w:firstLine="640" w:firstLineChars="200"/>
        <w:rPr>
          <w:rFonts w:ascii="仿宋_GB2312" w:hAnsi="仿宋" w:eastAsia="仿宋_GB2312" w:cs="Arial"/>
          <w:bCs/>
          <w:kern w:val="0"/>
          <w:sz w:val="32"/>
          <w:szCs w:val="32"/>
        </w:rPr>
      </w:pPr>
      <w:r>
        <w:rPr>
          <w:rFonts w:hint="eastAsia" w:ascii="仿宋_GB2312" w:hAnsi="仿宋" w:eastAsia="仿宋_GB2312" w:cs="Arial"/>
          <w:bCs/>
          <w:kern w:val="0"/>
          <w:sz w:val="32"/>
          <w:szCs w:val="32"/>
        </w:rPr>
        <w:t>2022年1月—12月。</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三、具体要求</w:t>
      </w:r>
    </w:p>
    <w:p>
      <w:pPr>
        <w:ind w:firstLine="640" w:firstLineChars="200"/>
        <w:rPr>
          <w:rFonts w:ascii="黑体" w:hAnsi="黑体" w:eastAsia="黑体"/>
          <w:sz w:val="32"/>
          <w:szCs w:val="32"/>
        </w:rPr>
      </w:pPr>
      <w:r>
        <w:rPr>
          <w:rFonts w:hint="eastAsia" w:ascii="仿宋_GB2312" w:eastAsia="仿宋_GB2312"/>
          <w:sz w:val="32"/>
          <w:szCs w:val="32"/>
        </w:rPr>
        <w:t>本次公开征召深圳市残疾人辅助器具服务管理系统进行2022年度维护服务。中标后，具体</w:t>
      </w:r>
      <w:r>
        <w:rPr>
          <w:rFonts w:hint="eastAsia" w:ascii="仿宋_GB2312" w:eastAsia="仿宋_GB2312" w:hAnsiTheme="minorEastAsia"/>
          <w:sz w:val="32"/>
          <w:szCs w:val="32"/>
        </w:rPr>
        <w:t>服务项目内容如下表：</w:t>
      </w:r>
    </w:p>
    <w:tbl>
      <w:tblPr>
        <w:tblStyle w:val="44"/>
        <w:tblW w:w="8080"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417"/>
        <w:gridCol w:w="5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序号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项目</w:t>
            </w:r>
          </w:p>
        </w:tc>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424" w:leftChars="202" w:right="1235" w:rightChars="588"/>
              <w:jc w:val="center"/>
              <w:rPr>
                <w:rFonts w:asciiTheme="minorEastAsia" w:hAnsiTheme="minorEastAsia"/>
                <w:bCs/>
                <w:szCs w:val="21"/>
              </w:rPr>
            </w:pPr>
            <w:r>
              <w:rPr>
                <w:rFonts w:hint="eastAsia" w:asciiTheme="minorEastAsia" w:hAnsiTheme="minorEastAsia"/>
                <w:bCs/>
                <w:szCs w:val="21"/>
              </w:rPr>
              <w:t>工作范围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1</w:t>
            </w:r>
          </w:p>
        </w:tc>
        <w:tc>
          <w:tcPr>
            <w:tcW w:w="1417"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bookmarkStart w:id="2" w:name="OLE_LINK6"/>
            <w:bookmarkStart w:id="3" w:name="_Hlk281902781"/>
            <w:bookmarkStart w:id="4" w:name="OLE_LINK3"/>
            <w:bookmarkStart w:id="5" w:name="OLE_LINK7"/>
            <w:bookmarkStart w:id="6" w:name="OLE_LINK4"/>
            <w:bookmarkStart w:id="7" w:name="OLE_LINK1"/>
            <w:bookmarkStart w:id="8" w:name="OLE_LINK5"/>
            <w:bookmarkStart w:id="9" w:name="OLE_LINK2"/>
            <w:bookmarkStart w:id="10" w:name="_Hlk267051747"/>
            <w:r>
              <w:rPr>
                <w:rFonts w:hint="eastAsia" w:asciiTheme="minorEastAsia" w:hAnsiTheme="minorEastAsia"/>
                <w:bCs/>
                <w:szCs w:val="21"/>
              </w:rPr>
              <w:t>系统维护</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1、完善前期系统建设中遗留的BUG，修复系统运行过程中出现的程序错误及相关问题；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2、在不大幅度进行改版的情况下，如深圳市残疾人综合服务中心需要对相关业务功能进行调整，中标人应配合完成相关功能；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3、安全防护、系统监控、在网站出现不正常情况时，及时进行恢复，保证网站稳定正常运行；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4、定期对系统程序及数据库进行备份；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5、在技术范围内，回答深圳市残疾人综合服务中心有关系统方面的技术咨询；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6、系统数据管理。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bookmarkEnd w:id="2"/>
          <w:bookmarkEnd w:id="3"/>
          <w:bookmarkEnd w:id="4"/>
          <w:bookmarkEnd w:id="5"/>
          <w:bookmarkEnd w:id="6"/>
          <w:bookmarkEnd w:id="7"/>
          <w:bookmarkEnd w:id="8"/>
          <w:bookmarkEnd w:id="9"/>
          <w:bookmarkEnd w:id="10"/>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社区服务管理的主要功能模块：1、工作任务：填写基本信息，修改基本信息，填写申请表单，查询申请表单，填写回访表单，2、查询导出：查询预约通知，查询评估退件，查询需求明细，查询个案流程 ；3、统计报表：个案进度表，服务状态统计表，回访次数统计表；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街道服务管理的主要功能模块：1、工作任务：填写咨询表单，查询申请表单，填写回访表单；2、查询导出：查询预约通知，查询评估退件，查询需求明细，查询个案流程；3、统计报表：个案服务类别汇总，个案服务区域汇总，辅具需求汇总，辅具回访统计，回访次数统计表，评估类别统计，评测区域汇总，个案进度表，服务状态统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区服务管理的主要功能模块：1、工作任务：审核申请表单，填写评估报告，填写配送表单，填写训练记录，填写结案表单；2、查询导出：查询预约通知，查询评估退件，查询需求明细，查询完成明细，查询个案流程；3、评测训练明细：辅具训练明细；4、机构训练明细：辅具训练明细；5、辅具服务：辅具维修服务，辅具回收服务，辅具捐赠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社会部服务管理的主要功能模块：1、辅具个案服务：分配个案任务，填写个案服务，填写接案结果，填写回访结案，人机检验预约，入户服务审核；2、特殊个案服务：填写基本信息、修改基本信息、填写申请表单、查询申请表单、特殊个案开案；3、查询导出：查询需求明细、查询预约通知、查询评估退件、查询配送表单、查询完成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评测服务管理的主要功能模块：1、适配评估：填写初评意见、初评预约、填写评估报告、填写领取通知、编辑转介表单；2、人机检验：人机检验预约、填写人机报告；3、训练服务：填写训练表单、辅具训练明细、康复服务明细；4、查询导出：查询配送表单、查询评估退件、查询需求明细、查询完成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配送服务管理的主要功能模块：1、工作任务：完成明细分类；2、居家无障碍：新增转介单、编辑转介单；3、辅具服务：辅具借用列表，租借结案列表，租借结算列表，维修审核列表，辅具回收列表，辅具捐赠列表，零配件列表，审核辅具价格；4、查询导出：查询评估退件、查询配送表单、人机检验预约、查询训练表单、查询配送明细、查询完成明细、查询结算明细、轮椅结算列表、辅具维修列表、辅具回收列表、辅具捐赠列表、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机构服务管理的主要功能模块：1、个案服务：填写回执表单、填写入户申请、填写训练表单、填写配送表单；</w:t>
            </w:r>
          </w:p>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2、查询导出：人机检验预约、查询配送明细、查询完成明细、轮椅结算明细、查询结算明细、查询个案流程；3、辅具维修服务：维修价格备案表、辅具维修列表、维修审核列表、维修结算统计、维修结案列表；4、辅具回收服务：辅具回收列表；5、辅具捐赠服务：辅具捐赠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 xml:space="preserve">服务查询的主要功能模块：1、图形统计：个案服务查询、评测服务查询；2、个案查询：查询个案流程；3、残疾类别查询：全市服务查询、个案服务查询、评测服务查询、适配服务查询；4、区域查询：全市服务查询、辅具需求查询、评测结果查询、个案服务查询、维修查询、回访查询；5、需求服务查询：需求汇总；6、评估服务查询：评估类别查询、服务类别查询、服务区域查询；7、配送服务查询：服务类别查询、服务区域查询、适配过程查询、排序查询、服务机构查询；8、维修查询：维修查询、排序查询；9、租借回收捐赠查询：租借查询、租借排序查询、回收捐赠查询；10、ISO分类查询：病种查询、评估类别查询；11、视障康复查询：区域查询、类别查询；12、服务机构查询；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技术服务管理的主要功能模块：查询个案流程；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财务部的主要功能模块：查看零配件、维修价格备案表、查看训练明细、辅具维修列表、辅具回收列表、轮椅结算明细、查询结算明细、维修结算明细、租借结算明细、查询个案流程；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辅具服务的主要功能模块：1、辅具维修服务：维修价格备案表、辅具维修列表、维修审核列表、维修结算统计、维修结案列表；2、辅具回收服务：辅具回收列表；3、辅具捐赠服务：辅具捐赠列表；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统计报表的主要功能模块：1、中心领导报表：深圳市残疾人辅助器具汇总表（按类别）、深圳市残疾人辅助器具汇总表（按区域）、深圳市辅助器具服务状态统计报表（按类别）、深圳市辅助器具服务状态统计报表（按区域）、深圳市辅助器具服务统计报表（按类别）、深圳市辅助器具服务统计报表（按区域）；2、个案服务报表：辅具需求明细表、个案服务汇总表（类别）、个案服务汇总表（区域）、辅具回访统计表、辅具需求工作汇总表、个案进度表、辅助器具服务状态统计表、明门轮椅结算明细表、辅具回访次数统计表；3、评测明细报表：评测明细表；4、评测汇总报表：评测服务总表（类别）、评测服务总表（区域）、辅具评估类别汇总表、深圳市视力残疾人康复服务汇总表（按类别）、深圳市视力残疾人康复服务汇总表（按区域）；5、评测ISO分类报表：评测ISO分类统计表、评测部ISO分类统计按病种；6、配送部明细报表：辅具适配服务明细表、辅具租借明细表、辅具回收捐赠明细表、辅具维修明细表；7、配送汇总报表：残疾人适配服务汇总表（按类别）、残疾人适配服务汇总表（按区域）、AB类辅具适配过程汇总表、适配排序表、辅具适配按支类排序表、残疾人适配服务配送人数汇总表（按类别）、残疾人适配服务配送人数汇总表（按区域）、辅具适配按辅具编号表、辅具回收捐赠统计表、辅具维修统计表；8、辅具维修汇总报表：配送部辅具维修区域汇总表、辅具适配维修服务汇总表；9、辅具租借汇总报表：辅具租借排序表、辅具租借区域类别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709" w:type="dxa"/>
            <w:vMerge w:val="continue"/>
            <w:tcBorders>
              <w:left w:val="single" w:color="auto" w:sz="4" w:space="0"/>
              <w:bottom w:val="nil"/>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bottom w:val="nil"/>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nil"/>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系统管理的主要功能模块：用户管理、角色管理、部门管理、辅具管理、区域管理；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2</w:t>
            </w:r>
          </w:p>
        </w:tc>
        <w:tc>
          <w:tcPr>
            <w:tcW w:w="1417" w:type="dxa"/>
            <w:vMerge w:val="restart"/>
            <w:tcBorders>
              <w:top w:val="single" w:color="auto" w:sz="4" w:space="0"/>
              <w:left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网络安全</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系统数据库维护；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系统安检巡查；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vMerge w:val="continue"/>
            <w:tcBorders>
              <w:left w:val="single" w:color="auto" w:sz="4" w:space="0"/>
              <w:bottom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1417" w:type="dxa"/>
            <w:vMerge w:val="continue"/>
            <w:tcBorders>
              <w:left w:val="single" w:color="auto" w:sz="4" w:space="0"/>
              <w:bottom w:val="single" w:color="auto" w:sz="4" w:space="0"/>
              <w:right w:val="single" w:color="auto" w:sz="4" w:space="0"/>
            </w:tcBorders>
            <w:vAlign w:val="center"/>
          </w:tcPr>
          <w:p>
            <w:pPr>
              <w:spacing w:line="360" w:lineRule="auto"/>
              <w:ind w:left="424" w:leftChars="202" w:right="-107" w:rightChars="-51"/>
              <w:jc w:val="center"/>
              <w:rPr>
                <w:rFonts w:asciiTheme="minorEastAsia" w:hAnsiTheme="minorEastAsia"/>
                <w:bCs/>
                <w:szCs w:val="21"/>
              </w:rPr>
            </w:pP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cs="Times New Roman" w:asciiTheme="minorEastAsia" w:hAnsiTheme="minorEastAsia"/>
                <w:bCs/>
                <w:szCs w:val="21"/>
              </w:rPr>
            </w:pPr>
            <w:r>
              <w:rPr>
                <w:rFonts w:hint="eastAsia" w:asciiTheme="minorEastAsia" w:hAnsiTheme="minorEastAsia"/>
                <w:bCs/>
                <w:szCs w:val="21"/>
              </w:rPr>
              <w:t>硬件防火墙黑客防护及管理。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right="34" w:rightChars="16"/>
              <w:jc w:val="center"/>
              <w:rPr>
                <w:rFonts w:asciiTheme="minorEastAsia" w:hAnsiTheme="minorEastAsia"/>
                <w:bCs/>
                <w:szCs w:val="21"/>
              </w:rPr>
            </w:pPr>
            <w:r>
              <w:rPr>
                <w:rFonts w:hint="eastAsia" w:asciiTheme="minorEastAsia" w:hAnsiTheme="minorEastAsia"/>
                <w:bCs/>
                <w:szCs w:val="21"/>
              </w:rPr>
              <w:t>服务器空间托管</w:t>
            </w:r>
          </w:p>
        </w:tc>
        <w:tc>
          <w:tcPr>
            <w:tcW w:w="5954" w:type="dxa"/>
            <w:tcBorders>
              <w:top w:val="single" w:color="auto" w:sz="4" w:space="0"/>
              <w:left w:val="single" w:color="auto" w:sz="4" w:space="0"/>
              <w:bottom w:val="single" w:color="auto" w:sz="4" w:space="0"/>
              <w:right w:val="single" w:color="auto" w:sz="4" w:space="0"/>
            </w:tcBorders>
          </w:tcPr>
          <w:p>
            <w:pPr>
              <w:spacing w:before="40" w:after="40" w:line="360" w:lineRule="auto"/>
              <w:ind w:left="174" w:leftChars="83" w:right="174" w:rightChars="83"/>
              <w:jc w:val="left"/>
              <w:textAlignment w:val="baseline"/>
              <w:rPr>
                <w:rFonts w:asciiTheme="minorEastAsia" w:hAnsiTheme="minorEastAsia"/>
                <w:bCs/>
                <w:szCs w:val="21"/>
              </w:rPr>
            </w:pPr>
            <w:r>
              <w:rPr>
                <w:rFonts w:hint="eastAsia" w:asciiTheme="minorEastAsia" w:hAnsiTheme="minorEastAsia"/>
                <w:bCs/>
                <w:szCs w:val="21"/>
              </w:rPr>
              <w:t>100 MB带宽独享出口300M服务器空间，百万硬件安全设备，最大权限SQL预装空间。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center"/>
              <w:rPr>
                <w:rFonts w:asciiTheme="minorEastAsia" w:hAnsiTheme="minorEastAsia"/>
                <w:bCs/>
                <w:szCs w:val="21"/>
              </w:rPr>
            </w:pPr>
            <w:r>
              <w:rPr>
                <w:rFonts w:hint="eastAsia" w:asciiTheme="minorEastAsia" w:hAnsiTheme="minorEastAsia"/>
                <w:bCs/>
                <w:szCs w:val="21"/>
              </w:rPr>
              <w:t>安全防护</w:t>
            </w:r>
          </w:p>
        </w:tc>
        <w:tc>
          <w:tcPr>
            <w:tcW w:w="5954" w:type="dxa"/>
            <w:tcBorders>
              <w:top w:val="single" w:color="auto" w:sz="4" w:space="0"/>
              <w:left w:val="single" w:color="auto" w:sz="4" w:space="0"/>
              <w:bottom w:val="single" w:color="auto" w:sz="4" w:space="0"/>
              <w:right w:val="single" w:color="auto" w:sz="4" w:space="0"/>
            </w:tcBorders>
          </w:tcPr>
          <w:p>
            <w:pPr>
              <w:spacing w:line="360" w:lineRule="auto"/>
              <w:ind w:left="174" w:leftChars="83" w:right="174" w:rightChars="83"/>
              <w:jc w:val="left"/>
              <w:rPr>
                <w:rFonts w:asciiTheme="minorEastAsia" w:hAnsiTheme="minorEastAsia"/>
                <w:bCs/>
                <w:szCs w:val="21"/>
              </w:rPr>
            </w:pPr>
            <w:r>
              <w:rPr>
                <w:rFonts w:hint="eastAsia" w:asciiTheme="minorEastAsia" w:hAnsiTheme="minorEastAsia"/>
                <w:bCs/>
                <w:szCs w:val="21"/>
              </w:rPr>
              <w:t>空间由WatchGuard Firebox ® Peak 8000千兆硬件防火墙提供保护。</w:t>
            </w:r>
          </w:p>
        </w:tc>
      </w:tr>
      <w:bookmarkEnd w:id="1"/>
    </w:tbl>
    <w:p>
      <w:pPr>
        <w:ind w:firstLine="640" w:firstLineChars="200"/>
        <w:rPr>
          <w:rFonts w:ascii="黑体" w:hAnsi="黑体" w:eastAsia="黑体"/>
          <w:sz w:val="32"/>
          <w:szCs w:val="32"/>
        </w:rPr>
      </w:pPr>
      <w:r>
        <w:rPr>
          <w:rFonts w:hint="eastAsia" w:ascii="黑体" w:hAnsi="黑体" w:eastAsia="黑体"/>
          <w:sz w:val="32"/>
          <w:szCs w:val="32"/>
        </w:rPr>
        <w:t>四、双方的责任与义务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sz w:val="32"/>
          <w:szCs w:val="32"/>
        </w:rPr>
        <w:t xml:space="preserve"> 深圳市残疾人综合服务中心</w:t>
      </w:r>
      <w:r>
        <w:rPr>
          <w:rFonts w:hint="eastAsia" w:ascii="仿宋_GB2312" w:eastAsia="仿宋_GB2312" w:hAnsiTheme="minorEastAsia"/>
          <w:sz w:val="32"/>
          <w:szCs w:val="32"/>
        </w:rPr>
        <w:t>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有责任提供软件系统维护期间所需的文件给中标人。</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（2）在软件系统维护过程中，保证有</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的专派人员全程跟踪负责双方的协调工作；如</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在维护工作开展过程中的负责人有变更情况，应向中标人提交软件系统新负责人的相关联系资料。</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应从合同签署之日起，按本合同中所规定的付款方式，按时足额向中标人支付相应的费用。</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在使用交付后的软件系统时，应注意符合国家法律规定和社会公共利益。</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应对违反国家法律或信息安全部门的规定而进行的不恰当使用、操作等，所引起的问题以及由此产生的影响、后果，承担全部责任。</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2.中标人的责任与义务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（1）中标人在本合同生效之日起开始为</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提供合同规定的服务。</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（2）中标人按服务项目内容条款中划定的范围，承担</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软件系统的升级维护工作。对于软件系统的升级维护工作，中标人可先要求深圳市残疾人综合服务中心对维护内容进行确认，然后开始实际工作。</w:t>
      </w:r>
    </w:p>
    <w:p>
      <w:pPr>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（3）中标人应保证提供的软件产品没有侵犯任何第三方的合法权益，否则，一切法律责任、行政责任和损失，由中标人承担，并负责处理相关事宜。中标人需保守</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的商业秘密，不得利用工作之便外泄资料，避免给</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带来损失；如</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需要，中标人需无条件提交的软件产品包括含有软件代码的载体（光盘或U盘）和相应的文档。</w:t>
      </w:r>
    </w:p>
    <w:p>
      <w:pPr>
        <w:ind w:firstLine="640" w:firstLineChars="200"/>
        <w:rPr>
          <w:rFonts w:ascii="仿宋_GB2312" w:eastAsia="仿宋_GB2312" w:hAnsiTheme="minorEastAsia"/>
          <w:sz w:val="32"/>
          <w:szCs w:val="32"/>
        </w:rPr>
      </w:pPr>
      <w:r>
        <w:rPr>
          <w:rFonts w:hint="eastAsia" w:ascii="仿宋_GB2312" w:hAnsi="宋体" w:eastAsia="仿宋_GB2312" w:cs="宋体"/>
          <w:bCs/>
          <w:sz w:val="32"/>
          <w:szCs w:val="32"/>
        </w:rPr>
        <w:t>（4）中标人对</w:t>
      </w:r>
      <w:r>
        <w:rPr>
          <w:rFonts w:hint="eastAsia" w:ascii="仿宋_GB2312" w:eastAsia="仿宋_GB2312"/>
          <w:sz w:val="32"/>
          <w:szCs w:val="32"/>
        </w:rPr>
        <w:t>深圳市残疾人综合服务中心</w:t>
      </w:r>
      <w:r>
        <w:rPr>
          <w:rFonts w:hint="eastAsia" w:ascii="仿宋_GB2312" w:hAnsi="宋体" w:eastAsia="仿宋_GB2312" w:cs="宋体"/>
          <w:bCs/>
          <w:sz w:val="32"/>
          <w:szCs w:val="32"/>
        </w:rPr>
        <w:t>提拱的临时使用账号要保密，不得公开，对组件开发的账号密码需进行加密，避免信息安全的泄露。</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（5）中标人承诺在履行合同时不会进行有损</w:t>
      </w:r>
      <w:r>
        <w:rPr>
          <w:rFonts w:hint="eastAsia" w:ascii="仿宋_GB2312" w:eastAsia="仿宋_GB2312"/>
          <w:sz w:val="32"/>
          <w:szCs w:val="32"/>
        </w:rPr>
        <w:t>深圳市残疾人综合服务中心</w:t>
      </w:r>
      <w:r>
        <w:rPr>
          <w:rFonts w:hint="eastAsia" w:ascii="仿宋_GB2312" w:eastAsia="仿宋_GB2312" w:hAnsiTheme="minorEastAsia"/>
          <w:sz w:val="32"/>
          <w:szCs w:val="32"/>
        </w:rPr>
        <w:t>形象、声誉等的行为。</w:t>
      </w:r>
    </w:p>
    <w:p>
      <w:pPr>
        <w:ind w:firstLine="640" w:firstLineChars="200"/>
        <w:rPr>
          <w:rFonts w:ascii="仿宋_GB2312" w:eastAsia="仿宋_GB2312" w:hAnsiTheme="minorEastAsia"/>
          <w:sz w:val="32"/>
          <w:szCs w:val="32"/>
        </w:rPr>
      </w:pPr>
      <w:r>
        <w:rPr>
          <w:rFonts w:hint="eastAsia" w:ascii="仿宋_GB2312" w:hAnsi="宋体" w:eastAsia="仿宋_GB2312"/>
          <w:sz w:val="32"/>
          <w:szCs w:val="32"/>
        </w:rPr>
        <w:t>（6）合同到期后（如项目结束后中标人未中标），中标人应按照</w:t>
      </w:r>
      <w:r>
        <w:rPr>
          <w:rFonts w:hint="eastAsia" w:ascii="仿宋_GB2312" w:eastAsia="仿宋_GB2312"/>
          <w:sz w:val="32"/>
          <w:szCs w:val="32"/>
        </w:rPr>
        <w:t>深圳市残疾人综合服务中心</w:t>
      </w:r>
      <w:r>
        <w:rPr>
          <w:rFonts w:hint="eastAsia" w:ascii="仿宋_GB2312" w:hAnsi="宋体" w:eastAsia="仿宋_GB2312"/>
          <w:sz w:val="32"/>
          <w:szCs w:val="32"/>
        </w:rPr>
        <w:t>要求与新的服务商办理工作交接。</w:t>
      </w:r>
    </w:p>
    <w:p>
      <w:pPr>
        <w:ind w:firstLine="640" w:firstLineChars="200"/>
        <w:rPr>
          <w:rFonts w:ascii="黑体" w:hAnsi="黑体" w:eastAsia="黑体" w:cstheme="majorEastAsia"/>
          <w:sz w:val="32"/>
          <w:szCs w:val="32"/>
        </w:rPr>
      </w:pPr>
      <w:r>
        <w:rPr>
          <w:rFonts w:hint="eastAsia" w:ascii="黑体" w:hAnsi="黑体" w:eastAsia="黑体"/>
          <w:sz w:val="32"/>
          <w:szCs w:val="32"/>
        </w:rPr>
        <w:t>五、</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本项目中预算控制金额为人民币9万元，投标人的投标总价超过预算控制金额为无效投标；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6%</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项目名称：2022年深圳市残疾人辅助器具服务管理系统年度维护项目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ZHZB2021023</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11" w:name="_Toc24833"/>
      <w:r>
        <w:rPr>
          <w:rFonts w:hint="eastAsia" w:ascii="宋体" w:hAnsi="宋体" w:cs="宋体"/>
          <w:b/>
          <w:bCs/>
          <w:szCs w:val="21"/>
        </w:rPr>
        <w:t>一、投标及履约承诺函</w:t>
      </w:r>
      <w:bookmarkEnd w:id="11"/>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12" w:name="_Toc480754205"/>
      <w:bookmarkStart w:id="13" w:name="_Toc275865607"/>
      <w:bookmarkStart w:id="14" w:name="_Toc50737297"/>
      <w:bookmarkStart w:id="15" w:name="_Toc50736477"/>
      <w:bookmarkStart w:id="16" w:name="_Toc50737329"/>
      <w:bookmarkStart w:id="17" w:name="_Toc52165081"/>
      <w:bookmarkStart w:id="18" w:name="_Toc50737296"/>
      <w:bookmarkStart w:id="19" w:name="_Toc50737328"/>
      <w:bookmarkStart w:id="20" w:name="_Toc52165080"/>
      <w:bookmarkStart w:id="21" w:name="_Toc50736476"/>
      <w:bookmarkStart w:id="22" w:name="_Toc50691034"/>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12"/>
      <w:bookmarkEnd w:id="13"/>
      <w:bookmarkEnd w:id="14"/>
      <w:bookmarkEnd w:id="15"/>
      <w:bookmarkEnd w:id="16"/>
      <w:bookmarkEnd w:id="17"/>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18"/>
    <w:bookmarkEnd w:id="19"/>
    <w:bookmarkEnd w:id="20"/>
    <w:bookmarkEnd w:id="21"/>
    <w:bookmarkEnd w:id="22"/>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23" w:name="_Toc173553182"/>
      <w:bookmarkStart w:id="24" w:name="_Toc480789478"/>
      <w:bookmarkStart w:id="25" w:name="_Toc480754207"/>
      <w:bookmarkStart w:id="26" w:name="_Toc275865616"/>
      <w:bookmarkStart w:id="27" w:name="_Toc480756074"/>
      <w:bookmarkStart w:id="28" w:name="_Toc480755928"/>
      <w:r>
        <w:rPr>
          <w:rFonts w:hint="eastAsia" w:ascii="仿宋_GB2312" w:eastAsia="仿宋_GB2312" w:hAnsiTheme="minorEastAsia"/>
          <w:sz w:val="32"/>
          <w:szCs w:val="32"/>
        </w:rPr>
        <w:t>投标人基本情况表</w:t>
      </w:r>
      <w:bookmarkEnd w:id="23"/>
      <w:bookmarkEnd w:id="24"/>
      <w:bookmarkEnd w:id="25"/>
      <w:bookmarkEnd w:id="26"/>
      <w:bookmarkEnd w:id="27"/>
      <w:bookmarkEnd w:id="28"/>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9" w:name="_Toc50703730"/>
      <w:bookmarkStart w:id="30" w:name="_Toc50691037"/>
      <w:bookmarkStart w:id="31" w:name="_Toc43264518"/>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32" w:name="_Toc480756078"/>
      <w:bookmarkStart w:id="33" w:name="_Toc480754211"/>
      <w:bookmarkStart w:id="34" w:name="_Toc480755932"/>
      <w:bookmarkStart w:id="35" w:name="_Toc480789482"/>
      <w:bookmarkStart w:id="36"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32"/>
      <w:bookmarkEnd w:id="33"/>
      <w:bookmarkEnd w:id="34"/>
      <w:bookmarkEnd w:id="35"/>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9"/>
      <w:bookmarkEnd w:id="30"/>
      <w:bookmarkEnd w:id="31"/>
      <w:bookmarkEnd w:id="36"/>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26</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1.项目负责人占</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分,横向比较，专业、学历、职称、工作经验最高者满分，其余递减扣分；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2.项目团队成员占1</w:t>
            </w:r>
            <w:r>
              <w:rPr>
                <w:rFonts w:ascii="仿宋_GB2312" w:eastAsia="仿宋_GB2312" w:cs="Times New Roman" w:hAnsiTheme="minorEastAsia"/>
                <w:kern w:val="0"/>
                <w:sz w:val="24"/>
                <w:szCs w:val="24"/>
              </w:rPr>
              <w:t>0</w:t>
            </w:r>
            <w:r>
              <w:rPr>
                <w:rFonts w:hint="eastAsia" w:ascii="仿宋_GB2312" w:eastAsia="仿宋_GB2312" w:cs="Times New Roman" w:hAnsiTheme="minorEastAsia"/>
                <w:kern w:val="0"/>
                <w:sz w:val="24"/>
                <w:szCs w:val="24"/>
              </w:rPr>
              <w:t>分。横向比较，专业、学历、职称、工</w:t>
            </w:r>
            <w:r>
              <w:rPr>
                <w:rFonts w:hint="eastAsia" w:ascii="仿宋_GB2312" w:hAnsi="Times New Roman" w:eastAsia="仿宋_GB2312" w:cs="Times New Roman"/>
                <w:sz w:val="24"/>
                <w:szCs w:val="24"/>
              </w:rPr>
              <w:t>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3.投标单位项目负责人是残疾人的加１分，没有不得分；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.过往业绩，每提供一份合同</w:t>
            </w:r>
            <w:r>
              <w:rPr>
                <w:rFonts w:hint="eastAsia" w:ascii="仿宋_GB2312" w:hAnsi="Times New Roman" w:eastAsia="仿宋_GB2312" w:cs="Times New Roman"/>
                <w:sz w:val="24"/>
                <w:szCs w:val="24"/>
              </w:rPr>
              <w:t>/协议加2分，最高1</w:t>
            </w:r>
            <w:r>
              <w:rPr>
                <w:rFonts w:ascii="仿宋_GB2312" w:hAnsi="Times New Roman" w:eastAsia="仿宋_GB2312" w:cs="Times New Roman"/>
                <w:sz w:val="24"/>
                <w:szCs w:val="24"/>
              </w:rPr>
              <w:t>0分；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分，时间进度在要求之内的</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分。确保项目实施有效、5分。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w:t>
            </w:r>
            <w:r>
              <w:rPr>
                <w:rFonts w:ascii="仿宋_GB2312" w:eastAsia="仿宋_GB2312" w:cs="Times New Roman" w:hAnsiTheme="minorEastAsia"/>
                <w:kern w:val="0"/>
                <w:sz w:val="24"/>
                <w:szCs w:val="24"/>
              </w:rPr>
              <w:t>30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4</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32</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278F"/>
    <w:rsid w:val="002B67B3"/>
    <w:rsid w:val="002B6E55"/>
    <w:rsid w:val="002C121C"/>
    <w:rsid w:val="002D46B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3B20"/>
    <w:rsid w:val="00B363B1"/>
    <w:rsid w:val="00B413DB"/>
    <w:rsid w:val="00B41F7B"/>
    <w:rsid w:val="00B5397C"/>
    <w:rsid w:val="00B81621"/>
    <w:rsid w:val="00B9057D"/>
    <w:rsid w:val="00B96701"/>
    <w:rsid w:val="00BA1298"/>
    <w:rsid w:val="00BA52EC"/>
    <w:rsid w:val="00BB0387"/>
    <w:rsid w:val="00BC71BB"/>
    <w:rsid w:val="00BD3B2E"/>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37EC"/>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273E9"/>
    <w:rsid w:val="00E468D2"/>
    <w:rsid w:val="00E63CA8"/>
    <w:rsid w:val="00E82873"/>
    <w:rsid w:val="00EC1DF4"/>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2F056F5"/>
    <w:rsid w:val="1D1900BD"/>
    <w:rsid w:val="1D4E304F"/>
    <w:rsid w:val="282861E1"/>
    <w:rsid w:val="28330482"/>
    <w:rsid w:val="2B9D7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74A32-72EA-4A6F-AA9C-28DB5BBF97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1938</Words>
  <Characters>11053</Characters>
  <Lines>92</Lines>
  <Paragraphs>25</Paragraphs>
  <TotalTime>0</TotalTime>
  <ScaleCrop>false</ScaleCrop>
  <LinksUpToDate>false</LinksUpToDate>
  <CharactersWithSpaces>12966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2023-08-16T07:36:49Z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667577C289624467B8BAAA1808C2443A</vt:lpwstr>
  </property>
</Properties>
</file>