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outlineLvl w:val="0"/>
        <w:rPr>
          <w:rFonts w:ascii="微软雅黑" w:hAnsi="微软雅黑" w:eastAsia="微软雅黑" w:cs="微软雅黑"/>
          <w:b/>
          <w:color w:val="auto"/>
          <w:sz w:val="32"/>
          <w:szCs w:val="32"/>
          <w:highlight w:val="none"/>
        </w:rPr>
      </w:pPr>
      <w:bookmarkStart w:id="0" w:name="_Toc1331"/>
      <w:r>
        <w:rPr>
          <w:rFonts w:hint="eastAsia" w:ascii="微软雅黑" w:hAnsi="微软雅黑" w:eastAsia="微软雅黑" w:cs="微软雅黑"/>
          <w:b/>
          <w:color w:val="auto"/>
          <w:sz w:val="32"/>
          <w:szCs w:val="32"/>
          <w:highlight w:val="none"/>
        </w:rPr>
        <w:t>第四章  需求及技术规格</w:t>
      </w:r>
      <w:bookmarkEnd w:id="0"/>
    </w:p>
    <w:p>
      <w:pPr>
        <w:spacing w:line="340" w:lineRule="exact"/>
        <w:ind w:left="-71" w:firstLine="447" w:firstLineChars="212"/>
        <w:rPr>
          <w:rFonts w:ascii="宋体" w:hAnsi="宋体"/>
          <w:b/>
          <w:bCs/>
          <w:color w:val="auto"/>
          <w:szCs w:val="21"/>
          <w:highlight w:val="none"/>
        </w:rPr>
      </w:pPr>
    </w:p>
    <w:p>
      <w:pPr>
        <w:jc w:val="center"/>
        <w:outlineLvl w:val="1"/>
        <w:rPr>
          <w:rFonts w:ascii="微软雅黑" w:hAnsi="微软雅黑" w:eastAsia="微软雅黑" w:cs="微软雅黑"/>
          <w:b/>
          <w:color w:val="auto"/>
          <w:sz w:val="24"/>
          <w:szCs w:val="24"/>
          <w:highlight w:val="none"/>
        </w:rPr>
      </w:pPr>
      <w:bookmarkStart w:id="1" w:name="_Toc24986"/>
      <w:r>
        <w:rPr>
          <w:rFonts w:hint="eastAsia" w:ascii="微软雅黑" w:hAnsi="微软雅黑" w:eastAsia="微软雅黑" w:cs="微软雅黑"/>
          <w:b/>
          <w:color w:val="auto"/>
          <w:sz w:val="24"/>
          <w:szCs w:val="24"/>
          <w:highlight w:val="none"/>
        </w:rPr>
        <w:t>第一节  说明</w:t>
      </w:r>
      <w:bookmarkEnd w:id="1"/>
    </w:p>
    <w:p>
      <w:pPr>
        <w:spacing w:line="440" w:lineRule="exact"/>
        <w:ind w:firstLine="420" w:firstLineChars="200"/>
        <w:rPr>
          <w:rFonts w:ascii="宋体" w:hAnsi="宋体"/>
          <w:b/>
          <w:bCs/>
          <w:color w:val="auto"/>
          <w:szCs w:val="21"/>
          <w:highlight w:val="none"/>
        </w:rPr>
      </w:pPr>
      <w:r>
        <w:rPr>
          <w:rFonts w:hint="eastAsia" w:ascii="宋体" w:hAnsi="宋体"/>
          <w:color w:val="auto"/>
          <w:szCs w:val="21"/>
          <w:highlight w:val="none"/>
        </w:rPr>
        <w:t>1、投标人必须对本招标文件所列的所有采购内容进行投标，不得将项目中的内容拆开投标，如果项目有分包的，投标人也可以只对其中一个或几个分包进行投标，但不得将一个包中的内容拆开投标，否则将导致其投标被拒绝。投标人须认真填写第五章的偏离表，偏离表将作为重要的评标依据。</w:t>
      </w:r>
    </w:p>
    <w:p>
      <w:pPr>
        <w:spacing w:line="440" w:lineRule="exact"/>
        <w:ind w:firstLine="422" w:firstLineChars="200"/>
        <w:rPr>
          <w:rFonts w:ascii="宋体" w:hAnsi="宋体"/>
          <w:b/>
          <w:color w:val="auto"/>
          <w:highlight w:val="none"/>
        </w:rPr>
      </w:pPr>
      <w:r>
        <w:rPr>
          <w:rFonts w:hint="eastAsia" w:ascii="宋体" w:hAnsi="宋体"/>
          <w:b/>
          <w:color w:val="auto"/>
          <w:highlight w:val="none"/>
        </w:rPr>
        <w:t>重点说明：偏离表中“偏离度”由投标人自行判断后填写，内容仅供评委参考，</w:t>
      </w:r>
      <w:r>
        <w:rPr>
          <w:rFonts w:ascii="宋体" w:hAnsi="宋体"/>
          <w:b/>
          <w:color w:val="auto"/>
          <w:highlight w:val="none"/>
        </w:rPr>
        <w:t>评标委员会将根据</w:t>
      </w:r>
      <w:r>
        <w:rPr>
          <w:rFonts w:hint="eastAsia" w:ascii="宋体" w:hAnsi="宋体"/>
          <w:b/>
          <w:color w:val="auto"/>
          <w:highlight w:val="none"/>
        </w:rPr>
        <w:t>具体响应内容</w:t>
      </w:r>
      <w:r>
        <w:rPr>
          <w:rFonts w:ascii="宋体" w:hAnsi="宋体"/>
          <w:b/>
          <w:color w:val="auto"/>
          <w:highlight w:val="none"/>
        </w:rPr>
        <w:t>给予是否偏离的认定，并以此</w:t>
      </w:r>
      <w:r>
        <w:rPr>
          <w:rFonts w:hint="eastAsia" w:ascii="宋体" w:hAnsi="宋体"/>
          <w:b/>
          <w:color w:val="auto"/>
          <w:highlight w:val="none"/>
        </w:rPr>
        <w:t>作为</w:t>
      </w:r>
      <w:r>
        <w:rPr>
          <w:rFonts w:ascii="宋体" w:hAnsi="宋体"/>
          <w:b/>
          <w:color w:val="auto"/>
          <w:highlight w:val="none"/>
        </w:rPr>
        <w:t>最终评判</w:t>
      </w:r>
      <w:r>
        <w:rPr>
          <w:rFonts w:hint="eastAsia" w:ascii="宋体" w:hAnsi="宋体"/>
          <w:b/>
          <w:color w:val="auto"/>
          <w:szCs w:val="22"/>
          <w:highlight w:val="none"/>
        </w:rPr>
        <w:t>。</w:t>
      </w:r>
      <w:r>
        <w:rPr>
          <w:rFonts w:hint="eastAsia" w:ascii="宋体" w:hAnsi="宋体"/>
          <w:b/>
          <w:color w:val="auto"/>
          <w:highlight w:val="none"/>
        </w:rPr>
        <w:t>需求中要求提供证书、检测报告、承诺函或其他证明文件的，如投标人未按要求提供或提供的文件无法证明对应事项的，该项要求的响应偏离度评委会有权认定为“负偏离”，若该项要求为不可偏离项或实质性要求，做无效标处理；若该项要求非不可偏离项，则按评分标准做相应扣分处理。</w:t>
      </w:r>
    </w:p>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2、</w:t>
      </w:r>
      <w:r>
        <w:rPr>
          <w:rFonts w:ascii="宋体" w:hAnsi="宋体"/>
          <w:b/>
          <w:bCs/>
          <w:color w:val="auto"/>
          <w:szCs w:val="21"/>
          <w:highlight w:val="none"/>
        </w:rPr>
        <w:t>本招标文件要求中，凡标有</w:t>
      </w:r>
      <w:r>
        <w:rPr>
          <w:rFonts w:hint="eastAsia" w:ascii="宋体" w:hAnsi="宋体"/>
          <w:b/>
          <w:bCs/>
          <w:color w:val="auto"/>
          <w:szCs w:val="21"/>
          <w:highlight w:val="none"/>
        </w:rPr>
        <w:t>“★”</w:t>
      </w:r>
      <w:r>
        <w:rPr>
          <w:rFonts w:ascii="宋体" w:hAnsi="宋体"/>
          <w:b/>
          <w:bCs/>
          <w:color w:val="auto"/>
          <w:szCs w:val="21"/>
          <w:highlight w:val="none"/>
        </w:rPr>
        <w:t>的地方均被视为</w:t>
      </w:r>
      <w:r>
        <w:rPr>
          <w:rFonts w:hint="eastAsia" w:ascii="宋体" w:hAnsi="宋体"/>
          <w:b/>
          <w:bCs/>
          <w:color w:val="auto"/>
          <w:szCs w:val="21"/>
          <w:highlight w:val="none"/>
        </w:rPr>
        <w:t>不可偏离条款，</w:t>
      </w:r>
      <w:r>
        <w:rPr>
          <w:rFonts w:ascii="宋体" w:hAnsi="宋体"/>
          <w:b/>
          <w:bCs/>
          <w:color w:val="auto"/>
          <w:szCs w:val="21"/>
          <w:highlight w:val="none"/>
        </w:rPr>
        <w:t>投标人要特别加以注意</w:t>
      </w:r>
      <w:r>
        <w:rPr>
          <w:rFonts w:hint="eastAsia" w:ascii="宋体" w:hAnsi="宋体"/>
          <w:b/>
          <w:bCs/>
          <w:color w:val="auto"/>
          <w:szCs w:val="21"/>
          <w:highlight w:val="none"/>
        </w:rPr>
        <w:t>并予以响应，</w:t>
      </w:r>
      <w:r>
        <w:rPr>
          <w:rFonts w:ascii="宋体" w:hAnsi="宋体"/>
          <w:b/>
          <w:bCs/>
          <w:color w:val="auto"/>
          <w:szCs w:val="21"/>
          <w:highlight w:val="none"/>
        </w:rPr>
        <w:t>否则，若有一项带</w:t>
      </w:r>
      <w:r>
        <w:rPr>
          <w:rFonts w:hint="eastAsia" w:ascii="宋体" w:hAnsi="宋体"/>
          <w:b/>
          <w:bCs/>
          <w:color w:val="auto"/>
          <w:szCs w:val="21"/>
          <w:highlight w:val="none"/>
        </w:rPr>
        <w:t>“★”</w:t>
      </w:r>
      <w:r>
        <w:rPr>
          <w:rFonts w:ascii="宋体" w:hAnsi="宋体"/>
          <w:b/>
          <w:bCs/>
          <w:color w:val="auto"/>
          <w:szCs w:val="21"/>
          <w:highlight w:val="none"/>
        </w:rPr>
        <w:t>的</w:t>
      </w:r>
      <w:r>
        <w:rPr>
          <w:rFonts w:hint="eastAsia" w:ascii="宋体" w:hAnsi="宋体"/>
          <w:b/>
          <w:bCs/>
          <w:color w:val="auto"/>
          <w:szCs w:val="21"/>
          <w:highlight w:val="none"/>
        </w:rPr>
        <w:t>要求</w:t>
      </w:r>
      <w:r>
        <w:rPr>
          <w:rFonts w:ascii="宋体" w:hAnsi="宋体"/>
          <w:b/>
          <w:bCs/>
          <w:color w:val="auto"/>
          <w:szCs w:val="21"/>
          <w:highlight w:val="none"/>
        </w:rPr>
        <w:t>未响应或不满足，将按投标无效处理</w:t>
      </w:r>
      <w:r>
        <w:rPr>
          <w:rFonts w:hint="eastAsia" w:ascii="宋体" w:hAnsi="宋体"/>
          <w:b/>
          <w:bCs/>
          <w:color w:val="auto"/>
          <w:szCs w:val="21"/>
          <w:highlight w:val="none"/>
        </w:rPr>
        <w:t>；</w:t>
      </w:r>
      <w:r>
        <w:rPr>
          <w:rFonts w:ascii="宋体" w:hAnsi="宋体"/>
          <w:b/>
          <w:bCs/>
          <w:color w:val="auto"/>
          <w:szCs w:val="21"/>
          <w:highlight w:val="none"/>
        </w:rPr>
        <w:t>凡标有</w:t>
      </w:r>
      <w:r>
        <w:rPr>
          <w:rFonts w:hint="eastAsia" w:ascii="宋体" w:hAnsi="宋体"/>
          <w:b/>
          <w:bCs/>
          <w:color w:val="auto"/>
          <w:szCs w:val="21"/>
          <w:highlight w:val="none"/>
        </w:rPr>
        <w:t xml:space="preserve"> “▲”</w:t>
      </w:r>
      <w:r>
        <w:rPr>
          <w:rFonts w:ascii="宋体" w:hAnsi="宋体"/>
          <w:b/>
          <w:bCs/>
          <w:color w:val="auto"/>
          <w:szCs w:val="21"/>
          <w:highlight w:val="none"/>
        </w:rPr>
        <w:t>的地方均被视为重要要求</w:t>
      </w:r>
      <w:r>
        <w:rPr>
          <w:rFonts w:hint="eastAsia" w:ascii="宋体" w:hAnsi="宋体"/>
          <w:b/>
          <w:bCs/>
          <w:color w:val="auto"/>
          <w:szCs w:val="21"/>
          <w:highlight w:val="none"/>
        </w:rPr>
        <w:t>，若有带“▲”的要求未响应或不满足的，将按加重扣分处理</w:t>
      </w:r>
      <w:r>
        <w:rPr>
          <w:rFonts w:ascii="宋体" w:hAnsi="宋体"/>
          <w:b/>
          <w:bCs/>
          <w:color w:val="auto"/>
          <w:szCs w:val="21"/>
          <w:highlight w:val="none"/>
        </w:rPr>
        <w:t>。</w:t>
      </w:r>
    </w:p>
    <w:p>
      <w:pPr>
        <w:spacing w:line="440" w:lineRule="exact"/>
        <w:jc w:val="center"/>
        <w:rPr>
          <w:rFonts w:ascii="宋体" w:hAnsi="宋体"/>
          <w:b/>
          <w:bCs/>
          <w:color w:val="auto"/>
          <w:szCs w:val="21"/>
          <w:highlight w:val="none"/>
        </w:rPr>
      </w:pPr>
    </w:p>
    <w:p>
      <w:pPr>
        <w:jc w:val="center"/>
        <w:outlineLvl w:val="1"/>
        <w:rPr>
          <w:rFonts w:ascii="微软雅黑" w:hAnsi="微软雅黑" w:eastAsia="微软雅黑" w:cs="微软雅黑"/>
          <w:b/>
          <w:color w:val="auto"/>
          <w:sz w:val="24"/>
          <w:szCs w:val="24"/>
          <w:highlight w:val="none"/>
        </w:rPr>
      </w:pPr>
      <w:bookmarkStart w:id="2" w:name="_Toc28899"/>
      <w:r>
        <w:rPr>
          <w:rFonts w:hint="eastAsia" w:ascii="微软雅黑" w:hAnsi="微软雅黑" w:eastAsia="微软雅黑" w:cs="微软雅黑"/>
          <w:b/>
          <w:color w:val="auto"/>
          <w:sz w:val="24"/>
          <w:szCs w:val="24"/>
          <w:highlight w:val="none"/>
        </w:rPr>
        <w:t>第二节  需求一览表</w:t>
      </w:r>
      <w:bookmarkEnd w:id="2"/>
    </w:p>
    <w:tbl>
      <w:tblPr>
        <w:tblStyle w:val="9"/>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138"/>
        <w:gridCol w:w="922"/>
        <w:gridCol w:w="1073"/>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2" w:type="dxa"/>
            <w:vAlign w:val="center"/>
          </w:tcPr>
          <w:p>
            <w:pPr>
              <w:jc w:val="center"/>
              <w:rPr>
                <w:b/>
                <w:color w:val="auto"/>
                <w:highlight w:val="none"/>
              </w:rPr>
            </w:pPr>
            <w:r>
              <w:rPr>
                <w:b/>
                <w:color w:val="auto"/>
                <w:highlight w:val="none"/>
              </w:rPr>
              <w:t>序号</w:t>
            </w:r>
          </w:p>
        </w:tc>
        <w:tc>
          <w:tcPr>
            <w:tcW w:w="4138" w:type="dxa"/>
            <w:vAlign w:val="center"/>
          </w:tcPr>
          <w:p>
            <w:pPr>
              <w:jc w:val="center"/>
              <w:rPr>
                <w:b/>
                <w:color w:val="auto"/>
                <w:highlight w:val="none"/>
              </w:rPr>
            </w:pPr>
            <w:r>
              <w:rPr>
                <w:b/>
                <w:color w:val="auto"/>
                <w:highlight w:val="none"/>
              </w:rPr>
              <w:t>服务名称</w:t>
            </w:r>
          </w:p>
        </w:tc>
        <w:tc>
          <w:tcPr>
            <w:tcW w:w="922" w:type="dxa"/>
            <w:vAlign w:val="center"/>
          </w:tcPr>
          <w:p>
            <w:pPr>
              <w:jc w:val="center"/>
              <w:rPr>
                <w:b/>
                <w:color w:val="auto"/>
                <w:highlight w:val="none"/>
              </w:rPr>
            </w:pPr>
            <w:r>
              <w:rPr>
                <w:b/>
                <w:color w:val="auto"/>
                <w:highlight w:val="none"/>
              </w:rPr>
              <w:t>数量</w:t>
            </w:r>
          </w:p>
        </w:tc>
        <w:tc>
          <w:tcPr>
            <w:tcW w:w="1073" w:type="dxa"/>
            <w:vAlign w:val="center"/>
          </w:tcPr>
          <w:p>
            <w:pPr>
              <w:jc w:val="center"/>
              <w:rPr>
                <w:b/>
                <w:color w:val="auto"/>
                <w:highlight w:val="none"/>
              </w:rPr>
            </w:pPr>
            <w:r>
              <w:rPr>
                <w:b/>
                <w:color w:val="auto"/>
                <w:highlight w:val="none"/>
              </w:rPr>
              <w:t>单位</w:t>
            </w:r>
          </w:p>
        </w:tc>
        <w:tc>
          <w:tcPr>
            <w:tcW w:w="1900" w:type="dxa"/>
            <w:vAlign w:val="center"/>
          </w:tcPr>
          <w:p>
            <w:pPr>
              <w:jc w:val="center"/>
              <w:rPr>
                <w:rFonts w:ascii="宋体" w:hAnsi="宋体"/>
                <w:b/>
                <w:color w:val="auto"/>
                <w:highlight w:val="none"/>
              </w:rPr>
            </w:pPr>
            <w:r>
              <w:rPr>
                <w:rFonts w:hint="eastAsia"/>
                <w:b/>
                <w:color w:val="auto"/>
                <w:szCs w:val="21"/>
                <w:highlight w:val="none"/>
              </w:rPr>
              <w:t>预算控制金额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2" w:type="dxa"/>
            <w:vAlign w:val="center"/>
          </w:tcPr>
          <w:p>
            <w:pPr>
              <w:jc w:val="center"/>
              <w:rPr>
                <w:rFonts w:ascii="宋体" w:hAnsi="宋体"/>
                <w:color w:val="auto"/>
                <w:highlight w:val="none"/>
              </w:rPr>
            </w:pPr>
            <w:r>
              <w:rPr>
                <w:rFonts w:ascii="宋体" w:hAnsi="宋体"/>
                <w:color w:val="auto"/>
                <w:highlight w:val="none"/>
              </w:rPr>
              <w:t>1</w:t>
            </w:r>
          </w:p>
        </w:tc>
        <w:tc>
          <w:tcPr>
            <w:tcW w:w="4138" w:type="dxa"/>
            <w:vAlign w:val="center"/>
          </w:tcPr>
          <w:p>
            <w:pPr>
              <w:rPr>
                <w:rFonts w:ascii="宋体" w:hAnsi="宋体"/>
                <w:color w:val="auto"/>
                <w:highlight w:val="none"/>
              </w:rPr>
            </w:pPr>
            <w:r>
              <w:rPr>
                <w:rFonts w:hint="eastAsia" w:ascii="宋体" w:hAnsi="宋体"/>
                <w:color w:val="auto"/>
                <w:highlight w:val="none"/>
              </w:rPr>
              <w:t>深圳市残疾人康复知识竞赛</w:t>
            </w:r>
          </w:p>
        </w:tc>
        <w:tc>
          <w:tcPr>
            <w:tcW w:w="922" w:type="dxa"/>
            <w:vAlign w:val="center"/>
          </w:tcPr>
          <w:p>
            <w:pPr>
              <w:jc w:val="center"/>
              <w:rPr>
                <w:rFonts w:ascii="宋体" w:hAnsi="宋体"/>
                <w:color w:val="auto"/>
                <w:highlight w:val="none"/>
              </w:rPr>
            </w:pPr>
            <w:r>
              <w:rPr>
                <w:rFonts w:ascii="宋体" w:hAnsi="宋体"/>
                <w:color w:val="auto"/>
                <w:highlight w:val="none"/>
              </w:rPr>
              <w:t>1</w:t>
            </w:r>
          </w:p>
        </w:tc>
        <w:tc>
          <w:tcPr>
            <w:tcW w:w="1073" w:type="dxa"/>
            <w:vAlign w:val="center"/>
          </w:tcPr>
          <w:p>
            <w:pPr>
              <w:jc w:val="center"/>
              <w:rPr>
                <w:rFonts w:ascii="宋体" w:hAnsi="宋体"/>
                <w:color w:val="auto"/>
                <w:highlight w:val="none"/>
              </w:rPr>
            </w:pPr>
            <w:r>
              <w:rPr>
                <w:rFonts w:ascii="宋体" w:hAnsi="宋体"/>
                <w:color w:val="auto"/>
                <w:highlight w:val="none"/>
              </w:rPr>
              <w:t>项</w:t>
            </w:r>
          </w:p>
        </w:tc>
        <w:tc>
          <w:tcPr>
            <w:tcW w:w="1900" w:type="dxa"/>
            <w:vAlign w:val="center"/>
          </w:tcPr>
          <w:p>
            <w:pPr>
              <w:jc w:val="center"/>
              <w:rPr>
                <w:rFonts w:ascii="宋体" w:hAnsi="宋体"/>
                <w:color w:val="auto"/>
                <w:highlight w:val="none"/>
              </w:rPr>
            </w:pPr>
            <w:r>
              <w:rPr>
                <w:rFonts w:hint="eastAsia"/>
                <w:color w:val="auto"/>
                <w:szCs w:val="21"/>
                <w:highlight w:val="none"/>
                <w:lang w:val="en-US" w:eastAsia="zh-CN"/>
              </w:rPr>
              <w:t>37</w:t>
            </w:r>
            <w:r>
              <w:rPr>
                <w:rFonts w:hint="eastAsia"/>
                <w:color w:val="auto"/>
                <w:szCs w:val="21"/>
                <w:highlight w:val="none"/>
              </w:rPr>
              <w:t>万元</w:t>
            </w:r>
          </w:p>
        </w:tc>
      </w:tr>
    </w:tbl>
    <w:p>
      <w:pPr>
        <w:spacing w:line="340" w:lineRule="exact"/>
        <w:ind w:firstLine="422" w:firstLineChars="200"/>
        <w:rPr>
          <w:rFonts w:ascii="宋体" w:hAnsi="宋体"/>
          <w:b/>
          <w:bCs/>
          <w:color w:val="auto"/>
          <w:szCs w:val="21"/>
          <w:highlight w:val="none"/>
        </w:rPr>
      </w:pPr>
    </w:p>
    <w:p>
      <w:pPr>
        <w:jc w:val="center"/>
        <w:outlineLvl w:val="1"/>
        <w:rPr>
          <w:rFonts w:ascii="微软雅黑" w:hAnsi="微软雅黑" w:eastAsia="微软雅黑" w:cs="微软雅黑"/>
          <w:b/>
          <w:color w:val="auto"/>
          <w:sz w:val="24"/>
          <w:szCs w:val="24"/>
          <w:highlight w:val="none"/>
        </w:rPr>
      </w:pPr>
      <w:bookmarkStart w:id="3" w:name="_Toc5820"/>
      <w:r>
        <w:rPr>
          <w:rFonts w:hint="eastAsia" w:ascii="微软雅黑" w:hAnsi="微软雅黑" w:eastAsia="微软雅黑" w:cs="微软雅黑"/>
          <w:b/>
          <w:color w:val="auto"/>
          <w:sz w:val="24"/>
          <w:szCs w:val="24"/>
          <w:highlight w:val="none"/>
        </w:rPr>
        <w:t>第三节  技术需求明细</w:t>
      </w:r>
      <w:bookmarkEnd w:id="3"/>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一、项目背景</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康复是残疾人工作永恒的主题，也是残疾人最迫切的需求，是关系到千万残疾人及其家庭的民生福祉大事。为充分展现深圳市残疾人康复工作成果，加强残疾人康复专业队伍建设，营造有利于残疾人康复发展的良好气氛，自2011年深圳市已连续举办了十二届残疾人康复只是竞赛活动，参赛对象为深圳市各区残联的残疾人工作者及深圳市康复服务定点机构的专业技术人员。2023年将举办第十三届残疾人康复知识竞赛系列活动。</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22" w:firstLineChars="200"/>
        <w:textAlignment w:val="auto"/>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项目技术服务要求</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（一）工作目标</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完成2023年第十三届残疾人康复知识竞赛系列活动的策划、组织发动、赛前辅导培训、评审、大赛宣传以及总结等工作的组织实施。</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（二）具体服务内容</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bookmarkStart w:id="4" w:name="_Toc9861"/>
      <w:r>
        <w:rPr>
          <w:rFonts w:hint="eastAsia" w:ascii="宋体" w:hAnsi="宋体" w:eastAsia="宋体" w:cs="Times New Roman"/>
          <w:color w:val="auto"/>
          <w:kern w:val="2"/>
          <w:sz w:val="21"/>
          <w:szCs w:val="21"/>
          <w:highlight w:val="none"/>
          <w:lang w:val="en-US" w:eastAsia="zh-CN" w:bidi="ar-SA"/>
        </w:rPr>
        <w:t>组织举办2023年第十三届深圳市残疾人康复知识竞赛系列活动，主要包括竞赛活动方案策划、宣传、活动组织（知识竞赛、技能竞赛初赛、复赛）、赛前培训、专家评审以及配套服务。具体如下：</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1.活动方案策划：提交竞赛系列活动的整体流程策划、场地布置策划、舞台灯光策划、创意策划及推进实施进度表等。</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2.活动组织：包括报名资料审核、邀请评委、举办赛前培训班，组织康复知识竞赛、康复技能竞赛初赛、复赛、各1次，提供不少于11人的项目团队。</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2-1.报名资料审核：对报名的参赛选手进行审核。</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2-2赛前培训班：根据需求组织参赛人员进行赛前培训，培训内容包括比赛规则、答辩PPT制作、现场答辩注意事项等，并根据甲方需求邀请专家讲解参赛事宜。</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2-3康复技能竞赛：技能竞赛包括初赛及复赛两部分，根据甲方需求邀请专家对参赛队伍进行比赛评审。</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2-4康复知识竞赛：组织参赛队伍进行现场竞赛，根据甲方需求邀请专家现场点评。</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3.活动设计宣传：包括活动宣传推广（竞赛活动及各队风采软文推送）、场地设计、竞赛秩序册、题库等设计。</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4.竞赛题库编印：邀请不同领域专家出题，题库包含制度文件汇编、竞赛题目，包括但不限于单选、多选、判断题等。</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5.竞赛场地设计布置：对竞赛系列活动场地进行合理布置，包括但不限于背景板、签名墙、合影墙、互动拍照区、舞台背景、观众席等。</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6.活动宣传：在全市范围内开展线上线下的宣传；在深圳主流网络媒体、报纸等平面媒体，对大赛活动进行宣传报道，累计不低于3篇；给各参赛队伍拍摄宣传视频；设计时长不少于3分钟的视频宣传资料；对知识竞赛活动进行现场视频录制，并剪接制作为不少于1小时的视频资料。</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7.后勤保障：对系列活动各环节进行保障。</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7-1系列活动场地安排：剧院、广场、展馆或学校等，知识竞赛及技能竞赛活动舞台能够同时容纳 10 支代表队。</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7-2系列活动设备安排：提供符合竞赛系列活动需要的设施设备，包括音响、灯光、话筒、超清电子显示屏、答题设备等，并对设备进行安装、调试等。</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7-3摄影摄像：具有满足系列活动需求的专业摄影及摄像设备、人员。</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7-4团队人员：系列活动现场根据需要配备总协调人、主持人、礼仪、医疗人员、义工等服务等保障人员。</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7-5用车保障：提供满足系列活动需求的车辆保障。</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7-6餐饮：竞赛系列活动的工作餐用餐。</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7-7提供竞赛系列活动需要的奖杯奖牌及证书，活动参与奖品和用品、工作人员文化衫等。</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7-8提供系列活动的安全、应急及环保等保障。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bCs/>
          <w:color w:val="auto"/>
          <w:szCs w:val="21"/>
          <w:highlight w:val="none"/>
        </w:rPr>
      </w:pPr>
      <w:r>
        <w:rPr>
          <w:rFonts w:hint="eastAsia" w:ascii="宋体" w:hAnsi="宋体"/>
          <w:bCs/>
          <w:color w:val="auto"/>
          <w:szCs w:val="21"/>
          <w:highlight w:val="none"/>
          <w:lang w:val="en-US" w:eastAsia="zh-CN"/>
        </w:rPr>
        <w:t>9.</w:t>
      </w:r>
      <w:r>
        <w:rPr>
          <w:rFonts w:hint="eastAsia" w:ascii="宋体" w:hAnsi="宋体"/>
          <w:bCs/>
          <w:color w:val="auto"/>
          <w:szCs w:val="21"/>
          <w:highlight w:val="none"/>
        </w:rPr>
        <w:t>活动总结及档案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bCs/>
          <w:color w:val="auto"/>
          <w:szCs w:val="21"/>
          <w:highlight w:val="none"/>
        </w:rPr>
      </w:pPr>
      <w:r>
        <w:rPr>
          <w:rFonts w:hint="eastAsia" w:ascii="宋体" w:hAnsi="宋体"/>
          <w:bCs/>
          <w:color w:val="auto"/>
          <w:szCs w:val="21"/>
          <w:highlight w:val="none"/>
        </w:rPr>
        <w:t>对竞赛活动进行总结，分析组织工作的优点和不足，提出进一步完善的对策措施。在活动结束10个工作日内，按要求提供项目档案资料。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宋体" w:hAnsi="宋体"/>
          <w:bCs/>
          <w:color w:val="auto"/>
          <w:szCs w:val="21"/>
          <w:highlight w:val="none"/>
        </w:rPr>
      </w:pPr>
      <w:r>
        <w:rPr>
          <w:rFonts w:hint="eastAsia" w:ascii="宋体" w:hAnsi="宋体"/>
          <w:bCs/>
          <w:color w:val="auto"/>
          <w:szCs w:val="21"/>
          <w:highlight w:val="none"/>
          <w:lang w:val="en-US" w:eastAsia="zh-CN"/>
        </w:rPr>
        <w:t>10.</w:t>
      </w:r>
      <w:r>
        <w:rPr>
          <w:rFonts w:hint="eastAsia" w:ascii="宋体" w:hAnsi="宋体"/>
          <w:bCs/>
          <w:color w:val="auto"/>
          <w:szCs w:val="21"/>
          <w:highlight w:val="none"/>
        </w:rPr>
        <w:t>完成其他有需要的工作。</w:t>
      </w:r>
    </w:p>
    <w:p>
      <w:pPr>
        <w:jc w:val="center"/>
        <w:outlineLvl w:val="1"/>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第四节  商务需求明细</w:t>
      </w:r>
      <w:bookmarkEnd w:id="4"/>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宋体" w:hAnsi="宋体"/>
          <w:color w:val="auto"/>
          <w:szCs w:val="21"/>
          <w:highlight w:val="none"/>
        </w:rPr>
      </w:pPr>
      <w:r>
        <w:rPr>
          <w:rFonts w:hint="eastAsia" w:ascii="宋体" w:hAnsi="宋体"/>
          <w:b/>
          <w:color w:val="auto"/>
          <w:szCs w:val="21"/>
          <w:highlight w:val="none"/>
        </w:rPr>
        <w:t>一、服务期限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自服务协议签订之日起至2023年12月20日。</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宋体" w:hAnsi="宋体"/>
          <w:b/>
          <w:color w:val="auto"/>
          <w:szCs w:val="21"/>
          <w:highlight w:val="none"/>
        </w:rPr>
      </w:pPr>
      <w:r>
        <w:rPr>
          <w:rFonts w:hint="eastAsia" w:ascii="宋体" w:hAnsi="宋体"/>
          <w:b/>
          <w:color w:val="auto"/>
          <w:szCs w:val="21"/>
          <w:highlight w:val="none"/>
        </w:rPr>
        <w:t>二、付款条件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正式签订合同生效后，采购</w:t>
      </w:r>
      <w:r>
        <w:rPr>
          <w:rFonts w:hint="eastAsia" w:ascii="宋体" w:hAnsi="宋体"/>
          <w:color w:val="auto"/>
          <w:szCs w:val="21"/>
          <w:highlight w:val="none"/>
          <w:lang w:eastAsia="zh-CN"/>
        </w:rPr>
        <w:t>人</w:t>
      </w:r>
      <w:r>
        <w:rPr>
          <w:rFonts w:hint="eastAsia" w:ascii="宋体" w:hAnsi="宋体"/>
          <w:color w:val="auto"/>
          <w:szCs w:val="21"/>
          <w:highlight w:val="none"/>
        </w:rPr>
        <w:t>收到</w:t>
      </w:r>
      <w:r>
        <w:rPr>
          <w:rFonts w:hint="eastAsia" w:ascii="宋体" w:hAnsi="宋体"/>
          <w:color w:val="auto"/>
          <w:szCs w:val="21"/>
          <w:highlight w:val="none"/>
          <w:lang w:eastAsia="zh-CN"/>
        </w:rPr>
        <w:t>中标人</w:t>
      </w:r>
      <w:r>
        <w:rPr>
          <w:rFonts w:hint="eastAsia" w:ascii="宋体" w:hAnsi="宋体"/>
          <w:color w:val="auto"/>
          <w:szCs w:val="21"/>
          <w:highlight w:val="none"/>
        </w:rPr>
        <w:t>发票10个工作日内支付本次项目款项的</w:t>
      </w:r>
      <w:r>
        <w:rPr>
          <w:rFonts w:ascii="宋体" w:hAnsi="宋体"/>
          <w:color w:val="auto"/>
          <w:szCs w:val="21"/>
          <w:highlight w:val="none"/>
        </w:rPr>
        <w:t>7</w:t>
      </w:r>
      <w:r>
        <w:rPr>
          <w:rFonts w:hint="eastAsia" w:ascii="宋体" w:hAnsi="宋体"/>
          <w:color w:val="auto"/>
          <w:szCs w:val="21"/>
          <w:highlight w:val="none"/>
        </w:rPr>
        <w:t>0%到</w:t>
      </w:r>
      <w:r>
        <w:rPr>
          <w:rFonts w:hint="eastAsia" w:ascii="宋体" w:hAnsi="宋体"/>
          <w:color w:val="auto"/>
          <w:szCs w:val="21"/>
          <w:highlight w:val="none"/>
          <w:lang w:eastAsia="zh-CN"/>
        </w:rPr>
        <w:t>中标人</w:t>
      </w:r>
      <w:r>
        <w:rPr>
          <w:rFonts w:hint="eastAsia" w:ascii="宋体" w:hAnsi="宋体"/>
          <w:color w:val="auto"/>
          <w:szCs w:val="21"/>
          <w:highlight w:val="none"/>
        </w:rPr>
        <w:t>指定账号。</w:t>
      </w:r>
      <w:r>
        <w:rPr>
          <w:rFonts w:hint="eastAsia" w:ascii="宋体" w:hAnsi="宋体"/>
          <w:color w:val="auto"/>
          <w:szCs w:val="21"/>
          <w:highlight w:val="none"/>
          <w:lang w:eastAsia="zh-CN"/>
        </w:rPr>
        <w:t>中标人</w:t>
      </w:r>
      <w:r>
        <w:rPr>
          <w:rFonts w:hint="eastAsia" w:ascii="宋体" w:hAnsi="宋体"/>
          <w:color w:val="auto"/>
          <w:szCs w:val="21"/>
          <w:highlight w:val="none"/>
        </w:rPr>
        <w:t>须按照</w:t>
      </w:r>
      <w:r>
        <w:rPr>
          <w:rFonts w:hint="eastAsia" w:ascii="宋体" w:hAnsi="宋体"/>
          <w:color w:val="auto"/>
          <w:szCs w:val="21"/>
          <w:highlight w:val="none"/>
          <w:lang w:eastAsia="zh-CN"/>
        </w:rPr>
        <w:t>采购人</w:t>
      </w:r>
      <w:r>
        <w:rPr>
          <w:rFonts w:hint="eastAsia" w:ascii="宋体" w:hAnsi="宋体"/>
          <w:color w:val="auto"/>
          <w:szCs w:val="21"/>
          <w:highlight w:val="none"/>
        </w:rPr>
        <w:t>规定的进度完成服务工作并提交质量考核材料。</w:t>
      </w:r>
      <w:r>
        <w:rPr>
          <w:rFonts w:hint="eastAsia" w:ascii="宋体" w:hAnsi="宋体"/>
          <w:color w:val="auto"/>
          <w:szCs w:val="21"/>
          <w:highlight w:val="none"/>
          <w:lang w:eastAsia="zh-CN"/>
        </w:rPr>
        <w:t>中标人</w:t>
      </w:r>
      <w:r>
        <w:rPr>
          <w:rFonts w:hint="eastAsia" w:ascii="宋体" w:hAnsi="宋体"/>
          <w:color w:val="auto"/>
          <w:szCs w:val="21"/>
          <w:highlight w:val="none"/>
        </w:rPr>
        <w:t>完成项目汇报，并提交项目总结及档案经采购</w:t>
      </w:r>
      <w:r>
        <w:rPr>
          <w:rFonts w:hint="eastAsia" w:ascii="宋体" w:hAnsi="宋体"/>
          <w:color w:val="auto"/>
          <w:szCs w:val="21"/>
          <w:highlight w:val="none"/>
          <w:lang w:eastAsia="zh-CN"/>
        </w:rPr>
        <w:t>人</w:t>
      </w:r>
      <w:r>
        <w:rPr>
          <w:rFonts w:hint="eastAsia" w:ascii="宋体" w:hAnsi="宋体"/>
          <w:color w:val="auto"/>
          <w:szCs w:val="21"/>
          <w:highlight w:val="none"/>
        </w:rPr>
        <w:t>确认后，采购</w:t>
      </w:r>
      <w:r>
        <w:rPr>
          <w:rFonts w:hint="eastAsia" w:ascii="宋体" w:hAnsi="宋体"/>
          <w:color w:val="auto"/>
          <w:szCs w:val="21"/>
          <w:highlight w:val="none"/>
          <w:lang w:eastAsia="zh-CN"/>
        </w:rPr>
        <w:t>人</w:t>
      </w:r>
      <w:r>
        <w:rPr>
          <w:rFonts w:hint="eastAsia" w:ascii="宋体" w:hAnsi="宋体"/>
          <w:color w:val="auto"/>
          <w:szCs w:val="21"/>
          <w:highlight w:val="none"/>
        </w:rPr>
        <w:t>支付本次项目</w:t>
      </w:r>
      <w:r>
        <w:rPr>
          <w:rFonts w:ascii="宋体" w:hAnsi="宋体"/>
          <w:color w:val="auto"/>
          <w:szCs w:val="21"/>
          <w:highlight w:val="none"/>
        </w:rPr>
        <w:t>3</w:t>
      </w:r>
      <w:r>
        <w:rPr>
          <w:rFonts w:hint="eastAsia" w:ascii="宋体" w:hAnsi="宋体"/>
          <w:color w:val="auto"/>
          <w:szCs w:val="21"/>
          <w:highlight w:val="none"/>
        </w:rPr>
        <w:t>0%余款，若</w:t>
      </w:r>
      <w:r>
        <w:rPr>
          <w:rFonts w:hint="eastAsia" w:ascii="宋体" w:hAnsi="宋体"/>
          <w:color w:val="auto"/>
          <w:szCs w:val="21"/>
          <w:highlight w:val="none"/>
          <w:lang w:eastAsia="zh-CN"/>
        </w:rPr>
        <w:t>中标人</w:t>
      </w:r>
      <w:r>
        <w:rPr>
          <w:rFonts w:hint="eastAsia" w:hAnsi="宋体"/>
          <w:color w:val="auto"/>
          <w:szCs w:val="21"/>
          <w:highlight w:val="none"/>
        </w:rPr>
        <w:t>未能按规定时间完成有关工作的，</w:t>
      </w:r>
      <w:r>
        <w:rPr>
          <w:rFonts w:hint="eastAsia" w:hAnsi="宋体"/>
          <w:color w:val="auto"/>
          <w:szCs w:val="21"/>
          <w:highlight w:val="none"/>
          <w:lang w:eastAsia="zh-CN"/>
        </w:rPr>
        <w:t>采购人</w:t>
      </w:r>
      <w:r>
        <w:rPr>
          <w:rFonts w:hint="eastAsia" w:hAnsi="宋体"/>
          <w:color w:val="auto"/>
          <w:szCs w:val="21"/>
          <w:highlight w:val="none"/>
        </w:rPr>
        <w:t>可按合同总价款的相应</w:t>
      </w:r>
      <w:r>
        <w:rPr>
          <w:rFonts w:hAnsi="宋体"/>
          <w:color w:val="auto"/>
          <w:szCs w:val="21"/>
          <w:highlight w:val="none"/>
        </w:rPr>
        <w:t>比例</w:t>
      </w:r>
      <w:r>
        <w:rPr>
          <w:rFonts w:hint="eastAsia" w:hAnsi="宋体"/>
          <w:color w:val="auto"/>
          <w:szCs w:val="21"/>
          <w:highlight w:val="none"/>
        </w:rPr>
        <w:t>在余款</w:t>
      </w:r>
      <w:r>
        <w:rPr>
          <w:rFonts w:hAnsi="宋体"/>
          <w:color w:val="auto"/>
          <w:szCs w:val="21"/>
          <w:highlight w:val="none"/>
        </w:rPr>
        <w:t>中扣除</w:t>
      </w:r>
      <w:r>
        <w:rPr>
          <w:rFonts w:hint="eastAsia" w:hAnsi="宋体"/>
          <w:color w:val="auto"/>
          <w:szCs w:val="21"/>
          <w:highlight w:val="none"/>
        </w:rPr>
        <w:t>。</w:t>
      </w:r>
    </w:p>
    <w:p>
      <w:pPr>
        <w:spacing w:line="440" w:lineRule="exact"/>
        <w:ind w:firstLine="420" w:firstLineChars="199"/>
        <w:rPr>
          <w:rFonts w:ascii="宋体" w:hAnsi="宋体"/>
          <w:b/>
          <w:color w:val="auto"/>
          <w:szCs w:val="21"/>
          <w:highlight w:val="none"/>
        </w:rPr>
      </w:pPr>
    </w:p>
    <w:p>
      <w:pPr>
        <w:jc w:val="center"/>
        <w:outlineLvl w:val="1"/>
        <w:rPr>
          <w:rFonts w:ascii="微软雅黑" w:hAnsi="微软雅黑" w:eastAsia="微软雅黑" w:cs="微软雅黑"/>
          <w:b/>
          <w:bCs/>
          <w:caps/>
          <w:color w:val="auto"/>
          <w:sz w:val="24"/>
          <w:szCs w:val="24"/>
          <w:highlight w:val="none"/>
        </w:rPr>
      </w:pPr>
      <w:bookmarkStart w:id="5" w:name="_Toc15840"/>
      <w:bookmarkStart w:id="6" w:name="_Toc333420706"/>
      <w:bookmarkStart w:id="7" w:name="_Toc353262376"/>
      <w:r>
        <w:rPr>
          <w:rFonts w:hint="eastAsia" w:ascii="微软雅黑" w:hAnsi="微软雅黑" w:eastAsia="微软雅黑" w:cs="微软雅黑"/>
          <w:b/>
          <w:bCs/>
          <w:caps/>
          <w:color w:val="auto"/>
          <w:sz w:val="24"/>
          <w:szCs w:val="24"/>
          <w:highlight w:val="none"/>
        </w:rPr>
        <w:t>第五节  投标</w:t>
      </w:r>
      <w:r>
        <w:rPr>
          <w:rFonts w:hint="eastAsia" w:ascii="微软雅黑" w:hAnsi="微软雅黑" w:eastAsia="微软雅黑" w:cs="微软雅黑"/>
          <w:b/>
          <w:bCs/>
          <w:color w:val="auto"/>
          <w:sz w:val="24"/>
          <w:szCs w:val="24"/>
          <w:highlight w:val="none"/>
        </w:rPr>
        <w:t>文件</w:t>
      </w:r>
      <w:r>
        <w:rPr>
          <w:rFonts w:hint="eastAsia" w:ascii="微软雅黑" w:hAnsi="微软雅黑" w:eastAsia="微软雅黑" w:cs="微软雅黑"/>
          <w:b/>
          <w:bCs/>
          <w:caps/>
          <w:color w:val="auto"/>
          <w:sz w:val="24"/>
          <w:szCs w:val="24"/>
          <w:highlight w:val="none"/>
        </w:rPr>
        <w:t>否决性条款摘要</w:t>
      </w:r>
      <w:bookmarkEnd w:id="5"/>
      <w:bookmarkEnd w:id="6"/>
      <w:bookmarkEnd w:id="7"/>
    </w:p>
    <w:p>
      <w:pPr>
        <w:spacing w:line="440" w:lineRule="exact"/>
        <w:ind w:firstLine="422" w:firstLineChars="200"/>
        <w:rPr>
          <w:rFonts w:ascii="宋体" w:hAnsi="宋体"/>
          <w:b/>
          <w:color w:val="auto"/>
          <w:szCs w:val="21"/>
          <w:highlight w:val="none"/>
        </w:rPr>
      </w:pPr>
      <w:r>
        <w:rPr>
          <w:rFonts w:ascii="宋体" w:hAnsi="宋体"/>
          <w:b/>
          <w:color w:val="auto"/>
          <w:highlight w:val="none"/>
        </w:rPr>
        <w:t>1、</w:t>
      </w:r>
      <w:r>
        <w:rPr>
          <w:rFonts w:ascii="宋体" w:hAnsi="宋体"/>
          <w:b/>
          <w:color w:val="auto"/>
          <w:szCs w:val="21"/>
          <w:highlight w:val="none"/>
        </w:rPr>
        <w:t>投标文件有下列情形之一的，不予受理：</w:t>
      </w:r>
    </w:p>
    <w:p>
      <w:pPr>
        <w:spacing w:line="440" w:lineRule="exact"/>
        <w:ind w:firstLine="420" w:firstLineChars="200"/>
        <w:rPr>
          <w:rFonts w:ascii="宋体" w:hAnsi="宋体"/>
          <w:color w:val="auto"/>
          <w:szCs w:val="21"/>
          <w:highlight w:val="none"/>
        </w:rPr>
      </w:pPr>
      <w:r>
        <w:rPr>
          <w:rFonts w:ascii="宋体" w:hAnsi="宋体"/>
          <w:color w:val="auto"/>
          <w:highlight w:val="none"/>
        </w:rPr>
        <w:t xml:space="preserve">1.1  </w:t>
      </w:r>
      <w:r>
        <w:rPr>
          <w:rFonts w:ascii="宋体" w:hAnsi="宋体"/>
          <w:color w:val="auto"/>
          <w:szCs w:val="21"/>
          <w:highlight w:val="none"/>
        </w:rPr>
        <w:t>在投标截止时间以后送达的，或者未送达指定地点的；</w:t>
      </w:r>
    </w:p>
    <w:p>
      <w:pPr>
        <w:spacing w:line="440" w:lineRule="exact"/>
        <w:ind w:firstLine="420" w:firstLineChars="200"/>
        <w:rPr>
          <w:rFonts w:ascii="宋体" w:hAnsi="宋体"/>
          <w:color w:val="auto"/>
          <w:highlight w:val="none"/>
        </w:rPr>
      </w:pPr>
      <w:r>
        <w:rPr>
          <w:rFonts w:ascii="宋体" w:hAnsi="宋体"/>
          <w:color w:val="auto"/>
          <w:highlight w:val="none"/>
        </w:rPr>
        <w:t xml:space="preserve">1.2  </w:t>
      </w:r>
      <w:r>
        <w:rPr>
          <w:rFonts w:hint="eastAsia" w:ascii="宋体" w:hAnsi="宋体"/>
          <w:color w:val="auto"/>
          <w:highlight w:val="none"/>
        </w:rPr>
        <w:t>投标文件未密封的；</w:t>
      </w:r>
    </w:p>
    <w:p>
      <w:pPr>
        <w:spacing w:line="440" w:lineRule="exact"/>
        <w:ind w:firstLine="420" w:firstLineChars="200"/>
        <w:rPr>
          <w:rFonts w:ascii="宋体" w:hAnsi="宋体"/>
          <w:b/>
          <w:color w:val="auto"/>
          <w:szCs w:val="21"/>
          <w:highlight w:val="none"/>
        </w:rPr>
      </w:pPr>
      <w:r>
        <w:rPr>
          <w:rFonts w:hint="eastAsia" w:ascii="宋体" w:hAnsi="宋体"/>
          <w:color w:val="auto"/>
          <w:highlight w:val="none"/>
        </w:rPr>
        <w:t xml:space="preserve">1.3  </w:t>
      </w:r>
      <w:r>
        <w:rPr>
          <w:rFonts w:ascii="宋体" w:hAnsi="宋体"/>
          <w:color w:val="auto"/>
          <w:szCs w:val="21"/>
          <w:highlight w:val="none"/>
        </w:rPr>
        <w:t>投标人的名称与</w:t>
      </w:r>
      <w:bookmarkStart w:id="8" w:name="_Toc76871384"/>
      <w:r>
        <w:rPr>
          <w:rFonts w:ascii="宋体" w:hAnsi="宋体"/>
          <w:color w:val="auto"/>
          <w:szCs w:val="21"/>
          <w:highlight w:val="none"/>
        </w:rPr>
        <w:t>购买招标文件时登记</w:t>
      </w:r>
      <w:bookmarkEnd w:id="8"/>
      <w:r>
        <w:rPr>
          <w:rFonts w:ascii="宋体" w:hAnsi="宋体"/>
          <w:color w:val="auto"/>
          <w:szCs w:val="21"/>
          <w:highlight w:val="none"/>
        </w:rPr>
        <w:t>的不一致的。</w:t>
      </w:r>
    </w:p>
    <w:p>
      <w:pPr>
        <w:spacing w:line="440" w:lineRule="exact"/>
        <w:ind w:firstLine="422" w:firstLineChars="200"/>
        <w:rPr>
          <w:rFonts w:ascii="宋体" w:hAnsi="宋体"/>
          <w:b/>
          <w:color w:val="auto"/>
          <w:szCs w:val="21"/>
          <w:highlight w:val="none"/>
        </w:rPr>
      </w:pPr>
      <w:r>
        <w:rPr>
          <w:rFonts w:ascii="宋体" w:hAnsi="宋体"/>
          <w:b/>
          <w:color w:val="auto"/>
          <w:highlight w:val="none"/>
        </w:rPr>
        <w:t>2</w:t>
      </w:r>
      <w:r>
        <w:rPr>
          <w:rFonts w:hint="eastAsia" w:ascii="宋体" w:hAnsi="宋体"/>
          <w:b/>
          <w:color w:val="auto"/>
          <w:highlight w:val="none"/>
        </w:rPr>
        <w:t>、</w:t>
      </w:r>
      <w:r>
        <w:rPr>
          <w:rFonts w:ascii="宋体" w:hAnsi="宋体"/>
          <w:b/>
          <w:color w:val="auto"/>
          <w:szCs w:val="21"/>
          <w:highlight w:val="none"/>
        </w:rPr>
        <w:t>投标文件有下列</w:t>
      </w:r>
      <w:r>
        <w:rPr>
          <w:rFonts w:hint="eastAsia" w:ascii="宋体" w:hAnsi="宋体"/>
          <w:b/>
          <w:color w:val="auto"/>
          <w:szCs w:val="21"/>
          <w:highlight w:val="none"/>
        </w:rPr>
        <w:t>情形之一的，按无效标处理：</w:t>
      </w:r>
    </w:p>
    <w:p>
      <w:pPr>
        <w:spacing w:line="440" w:lineRule="exact"/>
        <w:ind w:firstLine="420" w:firstLineChars="200"/>
        <w:rPr>
          <w:rFonts w:ascii="宋体" w:hAnsi="宋体"/>
          <w:color w:val="auto"/>
          <w:szCs w:val="21"/>
          <w:highlight w:val="none"/>
        </w:rPr>
      </w:pPr>
      <w:r>
        <w:rPr>
          <w:rFonts w:hint="eastAsia" w:ascii="宋体" w:hAnsi="宋体"/>
          <w:color w:val="auto"/>
          <w:highlight w:val="none"/>
        </w:rPr>
        <w:t xml:space="preserve">2.1  </w:t>
      </w:r>
      <w:r>
        <w:rPr>
          <w:rFonts w:hint="eastAsia" w:ascii="宋体" w:hAnsi="宋体"/>
          <w:color w:val="auto"/>
          <w:szCs w:val="21"/>
          <w:highlight w:val="none"/>
        </w:rPr>
        <w:t>投标人未按照招标文件的要求提供投标保证金的；</w:t>
      </w:r>
      <w:r>
        <w:rPr>
          <w:rFonts w:ascii="宋体" w:hAnsi="宋体"/>
          <w:color w:val="auto"/>
          <w:szCs w:val="21"/>
          <w:highlight w:val="none"/>
        </w:rPr>
        <w:t xml:space="preserve">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2.2  投标文件无法定代表人签字或盖章，或签字人无法定代表人有效授权委托书原件的；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2.3  投标人资格条件不符合国家有关规定和招标文件要求；</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2.4  投标总价或分项报价超过预算控制金额的；</w:t>
      </w:r>
      <w:r>
        <w:rPr>
          <w:rFonts w:ascii="宋体" w:hAnsi="宋体"/>
          <w:color w:val="auto"/>
          <w:szCs w:val="21"/>
          <w:highlight w:val="none"/>
        </w:rPr>
        <w:t xml:space="preserve">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2.5  开标一览表出现无报价或报价为零或有选择性报价的；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2.6  </w:t>
      </w:r>
      <w:r>
        <w:rPr>
          <w:rFonts w:hint="eastAsia" w:ascii="宋体" w:hAnsi="宋体"/>
          <w:color w:val="auto"/>
          <w:spacing w:val="-2"/>
          <w:szCs w:val="21"/>
          <w:highlight w:val="none"/>
        </w:rPr>
        <w:t>投标人以他人的名义投标、串通投标、以行贿手段谋取中标或者以其他弄虚作假方式投标；</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2.7  </w:t>
      </w:r>
      <w:r>
        <w:rPr>
          <w:rFonts w:hint="eastAsia" w:ascii="宋体" w:hAnsi="宋体"/>
          <w:color w:val="auto"/>
          <w:spacing w:val="-2"/>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olor w:val="auto"/>
          <w:szCs w:val="21"/>
          <w:highlight w:val="none"/>
        </w:rPr>
        <w:t>；</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2.8  投标人拒不按照要求对投标文件进行澄清、说明或者补正的；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2.9  文件的关键内容字迹模糊、无法辨认的；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2.10  投标函未按规定填写的；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2.11  投标有效期不足的；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2.12  </w:t>
      </w:r>
      <w:r>
        <w:rPr>
          <w:rFonts w:hint="eastAsia" w:ascii="宋体" w:hAnsi="宋体"/>
          <w:color w:val="auto"/>
          <w:spacing w:val="-6"/>
          <w:szCs w:val="21"/>
          <w:highlight w:val="none"/>
        </w:rPr>
        <w:t>投标人的投标未能在实质上响应招标文件提出的所有实质性要求和条件（不可偏离条款）的；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2.13  </w:t>
      </w:r>
      <w:r>
        <w:rPr>
          <w:rFonts w:ascii="宋体" w:hAnsi="宋体"/>
          <w:color w:val="auto"/>
          <w:szCs w:val="21"/>
          <w:highlight w:val="none"/>
        </w:rPr>
        <w:t>投标报价有严重缺漏项目的</w:t>
      </w:r>
      <w:r>
        <w:rPr>
          <w:rFonts w:hint="eastAsia" w:ascii="宋体" w:hAnsi="宋体"/>
          <w:color w:val="auto"/>
          <w:szCs w:val="21"/>
          <w:highlight w:val="none"/>
        </w:rPr>
        <w:t>；</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2.14  联合体投标未附联合体各方共同投标协议的；联合体成员</w:t>
      </w:r>
      <w:r>
        <w:rPr>
          <w:rFonts w:ascii="宋体" w:hAnsi="宋体"/>
          <w:color w:val="auto"/>
          <w:szCs w:val="21"/>
          <w:highlight w:val="none"/>
        </w:rPr>
        <w:t>再以自己名义单独投标，</w:t>
      </w:r>
      <w:r>
        <w:rPr>
          <w:rFonts w:hint="eastAsia" w:ascii="宋体" w:hAnsi="宋体"/>
          <w:color w:val="auto"/>
          <w:szCs w:val="21"/>
          <w:highlight w:val="none"/>
        </w:rPr>
        <w:t>及</w:t>
      </w:r>
      <w:r>
        <w:rPr>
          <w:rFonts w:ascii="宋体" w:hAnsi="宋体"/>
          <w:color w:val="auto"/>
          <w:szCs w:val="21"/>
          <w:highlight w:val="none"/>
        </w:rPr>
        <w:t>组成或参加其他联合体在同一项目中投标</w:t>
      </w:r>
      <w:r>
        <w:rPr>
          <w:rFonts w:hint="eastAsia" w:ascii="宋体" w:hAnsi="宋体"/>
          <w:color w:val="auto"/>
          <w:szCs w:val="21"/>
          <w:highlight w:val="none"/>
        </w:rPr>
        <w:t>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2.15  </w:t>
      </w:r>
      <w:r>
        <w:rPr>
          <w:rFonts w:ascii="宋体" w:hAnsi="宋体"/>
          <w:color w:val="auto"/>
          <w:szCs w:val="21"/>
          <w:highlight w:val="none"/>
        </w:rPr>
        <w:t>投标人递交两份或多份内容不同</w:t>
      </w:r>
      <w:r>
        <w:rPr>
          <w:rFonts w:hint="eastAsia" w:ascii="宋体" w:hAnsi="宋体"/>
          <w:color w:val="auto"/>
          <w:szCs w:val="21"/>
          <w:highlight w:val="none"/>
        </w:rPr>
        <w:t>投标方案（</w:t>
      </w:r>
      <w:r>
        <w:rPr>
          <w:rFonts w:ascii="宋体" w:hAnsi="宋体"/>
          <w:color w:val="auto"/>
          <w:szCs w:val="21"/>
          <w:highlight w:val="none"/>
        </w:rPr>
        <w:t>招标文件规定提交备选投标方案的除外</w:t>
      </w:r>
      <w:r>
        <w:rPr>
          <w:rFonts w:hint="eastAsia" w:ascii="宋体" w:hAnsi="宋体"/>
          <w:color w:val="auto"/>
          <w:szCs w:val="21"/>
          <w:highlight w:val="none"/>
        </w:rPr>
        <w:t>）</w:t>
      </w:r>
      <w:r>
        <w:rPr>
          <w:rFonts w:ascii="宋体" w:hAnsi="宋体"/>
          <w:color w:val="auto"/>
          <w:szCs w:val="21"/>
          <w:highlight w:val="none"/>
        </w:rPr>
        <w:t>；</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2.16  投标文件只对</w:t>
      </w:r>
      <w:r>
        <w:rPr>
          <w:rFonts w:ascii="宋体" w:hAnsi="宋体"/>
          <w:color w:val="auto"/>
          <w:szCs w:val="21"/>
          <w:highlight w:val="none"/>
        </w:rPr>
        <w:t>同一</w:t>
      </w:r>
      <w:r>
        <w:rPr>
          <w:rFonts w:hint="eastAsia" w:ascii="宋体" w:hAnsi="宋体"/>
          <w:color w:val="auto"/>
          <w:szCs w:val="21"/>
          <w:highlight w:val="none"/>
        </w:rPr>
        <w:t>项目</w:t>
      </w:r>
      <w:r>
        <w:rPr>
          <w:rFonts w:ascii="宋体" w:hAnsi="宋体"/>
          <w:color w:val="auto"/>
          <w:szCs w:val="21"/>
          <w:highlight w:val="none"/>
        </w:rPr>
        <w:t>包中的</w:t>
      </w:r>
      <w:r>
        <w:rPr>
          <w:rFonts w:hint="eastAsia" w:ascii="宋体" w:hAnsi="宋体"/>
          <w:color w:val="auto"/>
          <w:szCs w:val="21"/>
          <w:highlight w:val="none"/>
        </w:rPr>
        <w:t>部分</w:t>
      </w:r>
      <w:r>
        <w:rPr>
          <w:rFonts w:ascii="宋体" w:hAnsi="宋体"/>
          <w:color w:val="auto"/>
          <w:szCs w:val="21"/>
          <w:highlight w:val="none"/>
        </w:rPr>
        <w:t>内容</w:t>
      </w:r>
      <w:r>
        <w:rPr>
          <w:rFonts w:hint="eastAsia" w:ascii="宋体" w:hAnsi="宋体"/>
          <w:color w:val="auto"/>
          <w:szCs w:val="21"/>
          <w:highlight w:val="none"/>
        </w:rPr>
        <w:t>投标，或把</w:t>
      </w:r>
      <w:r>
        <w:rPr>
          <w:rFonts w:ascii="宋体" w:hAnsi="宋体"/>
          <w:color w:val="auto"/>
          <w:szCs w:val="21"/>
          <w:highlight w:val="none"/>
        </w:rPr>
        <w:t>同一</w:t>
      </w:r>
      <w:r>
        <w:rPr>
          <w:rFonts w:hint="eastAsia" w:ascii="宋体" w:hAnsi="宋体"/>
          <w:color w:val="auto"/>
          <w:szCs w:val="21"/>
          <w:highlight w:val="none"/>
        </w:rPr>
        <w:t>项目</w:t>
      </w:r>
      <w:r>
        <w:rPr>
          <w:rFonts w:ascii="宋体" w:hAnsi="宋体"/>
          <w:color w:val="auto"/>
          <w:szCs w:val="21"/>
          <w:highlight w:val="none"/>
        </w:rPr>
        <w:t>包中</w:t>
      </w:r>
      <w:r>
        <w:rPr>
          <w:rFonts w:hint="eastAsia" w:ascii="宋体" w:hAnsi="宋体"/>
          <w:color w:val="auto"/>
          <w:szCs w:val="21"/>
          <w:highlight w:val="none"/>
        </w:rPr>
        <w:t>的内容拆开的投标；</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2.17  评标委员会根据招标文件的规定对投标文件的计算错误进行修正，投标人不接受修正后的投标报价的；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2.18  投标文件符合法律、法规及</w:t>
      </w:r>
      <w:r>
        <w:rPr>
          <w:rFonts w:hint="eastAsia" w:ascii="宋体" w:hAnsi="宋体"/>
          <w:color w:val="auto"/>
          <w:highlight w:val="none"/>
        </w:rPr>
        <w:t>招标文件中规定的其他否决因素的。</w:t>
      </w:r>
    </w:p>
    <w:p>
      <w:pPr>
        <w:spacing w:line="440" w:lineRule="exact"/>
        <w:jc w:val="center"/>
        <w:rPr>
          <w:rFonts w:ascii="黑体" w:hAnsi="宋体" w:eastAsia="黑体"/>
          <w:bCs/>
          <w:color w:val="auto"/>
          <w:sz w:val="24"/>
          <w:szCs w:val="24"/>
          <w:highlight w:val="none"/>
        </w:rPr>
      </w:pPr>
    </w:p>
    <w:p>
      <w:pPr>
        <w:jc w:val="center"/>
        <w:outlineLvl w:val="1"/>
        <w:rPr>
          <w:rFonts w:ascii="微软雅黑" w:hAnsi="微软雅黑" w:eastAsia="微软雅黑" w:cs="微软雅黑"/>
          <w:b/>
          <w:color w:val="auto"/>
          <w:sz w:val="24"/>
          <w:szCs w:val="24"/>
          <w:highlight w:val="none"/>
        </w:rPr>
      </w:pPr>
      <w:bookmarkStart w:id="9" w:name="_Toc921"/>
      <w:r>
        <w:rPr>
          <w:rFonts w:hint="eastAsia" w:ascii="微软雅黑" w:hAnsi="微软雅黑" w:eastAsia="微软雅黑" w:cs="微软雅黑"/>
          <w:b/>
          <w:color w:val="auto"/>
          <w:sz w:val="24"/>
          <w:szCs w:val="24"/>
          <w:highlight w:val="none"/>
        </w:rPr>
        <w:t>第六节  评标方法及程序</w:t>
      </w:r>
      <w:bookmarkEnd w:id="9"/>
    </w:p>
    <w:p>
      <w:pPr>
        <w:spacing w:line="3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一、本项目评标及定标方法</w:t>
      </w:r>
    </w:p>
    <w:tbl>
      <w:tblPr>
        <w:tblStyle w:val="10"/>
        <w:tblW w:w="921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5"/>
        <w:gridCol w:w="1770"/>
        <w:gridCol w:w="66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blHeader/>
          <w:jc w:val="center"/>
        </w:trPr>
        <w:tc>
          <w:tcPr>
            <w:tcW w:w="785" w:type="dxa"/>
            <w:vAlign w:val="center"/>
          </w:tcPr>
          <w:p>
            <w:pPr>
              <w:spacing w:line="440" w:lineRule="exact"/>
              <w:jc w:val="center"/>
              <w:rPr>
                <w:rFonts w:ascii="宋体" w:hAnsi="宋体" w:eastAsiaTheme="minorEastAsia" w:cstheme="minorBidi"/>
                <w:b/>
                <w:bCs/>
                <w:color w:val="auto"/>
                <w:szCs w:val="21"/>
                <w:highlight w:val="none"/>
              </w:rPr>
            </w:pPr>
            <w:r>
              <w:rPr>
                <w:rFonts w:hint="eastAsia" w:ascii="宋体" w:hAnsi="宋体" w:eastAsiaTheme="minorEastAsia" w:cstheme="minorBidi"/>
                <w:b/>
                <w:bCs/>
                <w:color w:val="auto"/>
                <w:szCs w:val="21"/>
                <w:highlight w:val="none"/>
              </w:rPr>
              <w:t>序号</w:t>
            </w:r>
          </w:p>
        </w:tc>
        <w:tc>
          <w:tcPr>
            <w:tcW w:w="1770" w:type="dxa"/>
            <w:vAlign w:val="center"/>
          </w:tcPr>
          <w:p>
            <w:pPr>
              <w:spacing w:line="440" w:lineRule="exact"/>
              <w:jc w:val="center"/>
              <w:rPr>
                <w:rFonts w:ascii="宋体" w:hAnsi="宋体" w:eastAsiaTheme="minorEastAsia" w:cstheme="minorBidi"/>
                <w:b/>
                <w:bCs/>
                <w:color w:val="auto"/>
                <w:szCs w:val="21"/>
                <w:highlight w:val="none"/>
              </w:rPr>
            </w:pPr>
            <w:r>
              <w:rPr>
                <w:rFonts w:hint="eastAsia" w:ascii="宋体" w:hAnsi="宋体" w:eastAsiaTheme="minorEastAsia" w:cstheme="minorBidi"/>
                <w:b/>
                <w:bCs/>
                <w:color w:val="auto"/>
                <w:szCs w:val="21"/>
                <w:highlight w:val="none"/>
              </w:rPr>
              <w:t>项目</w:t>
            </w:r>
          </w:p>
        </w:tc>
        <w:tc>
          <w:tcPr>
            <w:tcW w:w="6660" w:type="dxa"/>
            <w:vAlign w:val="center"/>
          </w:tcPr>
          <w:p>
            <w:pPr>
              <w:spacing w:line="440" w:lineRule="exact"/>
              <w:jc w:val="center"/>
              <w:rPr>
                <w:rFonts w:ascii="宋体" w:hAnsi="宋体" w:eastAsiaTheme="minorEastAsia" w:cstheme="minorBidi"/>
                <w:b/>
                <w:bCs/>
                <w:color w:val="auto"/>
                <w:szCs w:val="21"/>
                <w:highlight w:val="none"/>
              </w:rPr>
            </w:pPr>
            <w:r>
              <w:rPr>
                <w:rFonts w:hint="eastAsia" w:ascii="宋体" w:hAnsi="宋体" w:eastAsiaTheme="minorEastAsia" w:cstheme="minorBidi"/>
                <w:b/>
                <w:bCs/>
                <w:color w:val="auto"/>
                <w:szCs w:val="21"/>
                <w:highlight w:val="none"/>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85" w:type="dxa"/>
            <w:vAlign w:val="center"/>
          </w:tcPr>
          <w:p>
            <w:pPr>
              <w:spacing w:line="440" w:lineRule="exact"/>
              <w:jc w:val="center"/>
              <w:rPr>
                <w:rFonts w:ascii="宋体" w:hAnsi="宋体" w:eastAsiaTheme="minorEastAsia" w:cstheme="minorBidi"/>
                <w:bCs/>
                <w:color w:val="auto"/>
                <w:szCs w:val="21"/>
                <w:highlight w:val="none"/>
              </w:rPr>
            </w:pPr>
            <w:r>
              <w:rPr>
                <w:rFonts w:hint="eastAsia" w:ascii="宋体" w:hAnsi="宋体" w:eastAsiaTheme="minorEastAsia" w:cstheme="minorBidi"/>
                <w:bCs/>
                <w:color w:val="auto"/>
                <w:szCs w:val="21"/>
                <w:highlight w:val="none"/>
              </w:rPr>
              <w:t>1</w:t>
            </w:r>
          </w:p>
        </w:tc>
        <w:tc>
          <w:tcPr>
            <w:tcW w:w="1770" w:type="dxa"/>
            <w:vAlign w:val="center"/>
          </w:tcPr>
          <w:p>
            <w:pPr>
              <w:spacing w:line="440" w:lineRule="exact"/>
              <w:rPr>
                <w:rFonts w:ascii="宋体" w:hAnsi="宋体" w:eastAsiaTheme="minorEastAsia" w:cstheme="minorBidi"/>
                <w:bCs/>
                <w:color w:val="auto"/>
                <w:szCs w:val="21"/>
                <w:highlight w:val="none"/>
              </w:rPr>
            </w:pPr>
            <w:r>
              <w:rPr>
                <w:rFonts w:hint="eastAsia" w:ascii="宋体" w:hAnsi="宋体" w:eastAsiaTheme="minorEastAsia" w:cstheme="minorBidi"/>
                <w:bCs/>
                <w:color w:val="auto"/>
                <w:szCs w:val="21"/>
                <w:highlight w:val="none"/>
              </w:rPr>
              <w:t>定标方式</w:t>
            </w:r>
          </w:p>
        </w:tc>
        <w:tc>
          <w:tcPr>
            <w:tcW w:w="6660" w:type="dxa"/>
            <w:vAlign w:val="center"/>
          </w:tcPr>
          <w:p>
            <w:pPr>
              <w:spacing w:line="440" w:lineRule="exact"/>
              <w:rPr>
                <w:rFonts w:ascii="宋体" w:hAnsi="宋体" w:eastAsiaTheme="minorEastAsia" w:cstheme="minorBidi"/>
                <w:b/>
                <w:bCs/>
                <w:color w:val="auto"/>
                <w:szCs w:val="21"/>
                <w:highlight w:val="none"/>
              </w:rPr>
            </w:pPr>
            <w:r>
              <w:rPr>
                <w:rFonts w:hint="eastAsia" w:ascii="MS Mincho" w:hAnsi="MS Mincho" w:cs="MS Mincho" w:eastAsiaTheme="minorEastAsia"/>
                <w:snapToGrid w:val="0"/>
                <w:color w:val="auto"/>
                <w:kern w:val="0"/>
                <w:szCs w:val="21"/>
                <w:highlight w:val="none"/>
              </w:rPr>
              <w:t xml:space="preserve">■ </w:t>
            </w:r>
            <w:r>
              <w:rPr>
                <w:rFonts w:hint="eastAsia" w:ascii="宋体" w:hAnsi="宋体" w:eastAsiaTheme="minorEastAsia" w:cstheme="minorBidi"/>
                <w:color w:val="auto"/>
                <w:szCs w:val="21"/>
                <w:highlight w:val="none"/>
              </w:rPr>
              <w:t xml:space="preserve">授权评标委员会确定中标单位   </w:t>
            </w:r>
            <w:r>
              <w:rPr>
                <w:rFonts w:hint="eastAsia" w:ascii="宋体" w:hAnsi="宋体" w:eastAsiaTheme="minorEastAsia" w:cstheme="minorBidi"/>
                <w:snapToGrid w:val="0"/>
                <w:color w:val="auto"/>
                <w:kern w:val="0"/>
                <w:szCs w:val="21"/>
                <w:highlight w:val="none"/>
              </w:rPr>
              <w:t xml:space="preserve">□ </w:t>
            </w:r>
            <w:r>
              <w:rPr>
                <w:rFonts w:hint="eastAsia" w:asciiTheme="minorHAnsi" w:hAnsiTheme="minorHAnsi" w:eastAsiaTheme="minorEastAsia" w:cstheme="minorBidi"/>
                <w:color w:val="auto"/>
                <w:szCs w:val="22"/>
                <w:highlight w:val="none"/>
              </w:rPr>
              <w:t>评标和定标分离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85" w:type="dxa"/>
            <w:vAlign w:val="center"/>
          </w:tcPr>
          <w:p>
            <w:pPr>
              <w:spacing w:line="440" w:lineRule="exact"/>
              <w:jc w:val="center"/>
              <w:rPr>
                <w:rFonts w:ascii="宋体" w:hAnsi="宋体" w:eastAsiaTheme="minorEastAsia" w:cstheme="minorBidi"/>
                <w:bCs/>
                <w:color w:val="auto"/>
                <w:szCs w:val="21"/>
                <w:highlight w:val="none"/>
              </w:rPr>
            </w:pPr>
            <w:r>
              <w:rPr>
                <w:rFonts w:hint="eastAsia" w:ascii="宋体" w:hAnsi="宋体" w:eastAsiaTheme="minorEastAsia" w:cstheme="minorBidi"/>
                <w:bCs/>
                <w:color w:val="auto"/>
                <w:szCs w:val="21"/>
                <w:highlight w:val="none"/>
              </w:rPr>
              <w:t>2</w:t>
            </w:r>
          </w:p>
        </w:tc>
        <w:tc>
          <w:tcPr>
            <w:tcW w:w="1770" w:type="dxa"/>
            <w:vAlign w:val="center"/>
          </w:tcPr>
          <w:p>
            <w:pPr>
              <w:spacing w:line="440" w:lineRule="exact"/>
              <w:rPr>
                <w:rFonts w:ascii="宋体" w:hAnsi="宋体" w:eastAsiaTheme="minorEastAsia" w:cstheme="minorBidi"/>
                <w:bCs/>
                <w:color w:val="auto"/>
                <w:szCs w:val="21"/>
                <w:highlight w:val="none"/>
              </w:rPr>
            </w:pPr>
            <w:r>
              <w:rPr>
                <w:rFonts w:hint="eastAsia" w:ascii="宋体" w:hAnsi="宋体" w:eastAsiaTheme="minorEastAsia" w:cstheme="minorBidi"/>
                <w:bCs/>
                <w:color w:val="auto"/>
                <w:szCs w:val="21"/>
                <w:highlight w:val="none"/>
              </w:rPr>
              <w:t>评标方法</w:t>
            </w:r>
          </w:p>
        </w:tc>
        <w:tc>
          <w:tcPr>
            <w:tcW w:w="6660" w:type="dxa"/>
            <w:vAlign w:val="center"/>
          </w:tcPr>
          <w:p>
            <w:pPr>
              <w:spacing w:line="440" w:lineRule="exact"/>
              <w:rPr>
                <w:rFonts w:ascii="宋体" w:hAnsi="宋体" w:eastAsiaTheme="minorEastAsia" w:cstheme="minorBidi"/>
                <w:b/>
                <w:bCs/>
                <w:color w:val="auto"/>
                <w:szCs w:val="21"/>
                <w:highlight w:val="none"/>
              </w:rPr>
            </w:pPr>
            <w:r>
              <w:rPr>
                <w:rFonts w:hint="eastAsia" w:ascii="MS Mincho" w:hAnsi="MS Mincho" w:cs="MS Mincho" w:eastAsiaTheme="minorEastAsia"/>
                <w:snapToGrid w:val="0"/>
                <w:color w:val="auto"/>
                <w:kern w:val="0"/>
                <w:szCs w:val="21"/>
                <w:highlight w:val="none"/>
              </w:rPr>
              <w:t xml:space="preserve">■ </w:t>
            </w:r>
            <w:r>
              <w:rPr>
                <w:rFonts w:hint="eastAsia" w:ascii="宋体" w:hAnsi="宋体" w:eastAsiaTheme="minorEastAsia" w:cstheme="minorBidi"/>
                <w:color w:val="auto"/>
                <w:szCs w:val="21"/>
                <w:highlight w:val="none"/>
              </w:rPr>
              <w:t xml:space="preserve">综合评分法    </w:t>
            </w:r>
            <w:r>
              <w:rPr>
                <w:rFonts w:ascii="宋体" w:hAnsi="宋体" w:eastAsiaTheme="minorEastAsia" w:cstheme="minorBidi"/>
                <w:color w:val="auto"/>
                <w:szCs w:val="21"/>
                <w:highlight w:val="none"/>
              </w:rPr>
              <w:t xml:space="preserve">               </w:t>
            </w:r>
            <w:r>
              <w:rPr>
                <w:rFonts w:hint="eastAsia" w:ascii="宋体" w:hAnsi="宋体" w:eastAsiaTheme="minorEastAsia" w:cstheme="minorBidi"/>
                <w:snapToGrid w:val="0"/>
                <w:color w:val="auto"/>
                <w:kern w:val="0"/>
                <w:szCs w:val="21"/>
                <w:highlight w:val="none"/>
              </w:rPr>
              <w:t xml:space="preserve">□ </w:t>
            </w:r>
            <w:r>
              <w:rPr>
                <w:rFonts w:hint="eastAsia" w:ascii="Calibri" w:hAnsi="Calibri" w:eastAsiaTheme="minorEastAsia" w:cstheme="minorBidi"/>
                <w:color w:val="auto"/>
                <w:szCs w:val="21"/>
                <w:highlight w:val="none"/>
              </w:rPr>
              <w:t>最低价法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85" w:type="dxa"/>
            <w:vAlign w:val="center"/>
          </w:tcPr>
          <w:p>
            <w:pPr>
              <w:spacing w:line="440" w:lineRule="exact"/>
              <w:jc w:val="center"/>
              <w:rPr>
                <w:rFonts w:ascii="宋体" w:hAnsi="宋体" w:eastAsiaTheme="minorEastAsia" w:cstheme="minorBidi"/>
                <w:bCs/>
                <w:color w:val="auto"/>
                <w:szCs w:val="21"/>
                <w:highlight w:val="none"/>
              </w:rPr>
            </w:pPr>
            <w:r>
              <w:rPr>
                <w:rFonts w:ascii="宋体" w:hAnsi="宋体" w:eastAsiaTheme="minorEastAsia" w:cstheme="minorBidi"/>
                <w:bCs/>
                <w:color w:val="auto"/>
                <w:szCs w:val="21"/>
                <w:highlight w:val="none"/>
              </w:rPr>
              <w:t>3</w:t>
            </w:r>
          </w:p>
        </w:tc>
        <w:tc>
          <w:tcPr>
            <w:tcW w:w="1770" w:type="dxa"/>
            <w:vAlign w:val="center"/>
          </w:tcPr>
          <w:p>
            <w:pPr>
              <w:spacing w:line="440" w:lineRule="exact"/>
              <w:rPr>
                <w:rFonts w:ascii="宋体" w:hAnsi="宋体" w:eastAsiaTheme="minorEastAsia" w:cstheme="minorBidi"/>
                <w:bCs/>
                <w:color w:val="auto"/>
                <w:szCs w:val="21"/>
                <w:highlight w:val="none"/>
              </w:rPr>
            </w:pPr>
            <w:r>
              <w:rPr>
                <w:rFonts w:hint="eastAsia" w:ascii="宋体" w:hAnsi="宋体" w:eastAsiaTheme="minorEastAsia" w:cstheme="minorBidi"/>
                <w:bCs/>
                <w:color w:val="auto"/>
                <w:szCs w:val="21"/>
                <w:highlight w:val="none"/>
              </w:rPr>
              <w:t>价格评审优惠政策</w:t>
            </w:r>
          </w:p>
        </w:tc>
        <w:tc>
          <w:tcPr>
            <w:tcW w:w="6660" w:type="dxa"/>
            <w:vAlign w:val="center"/>
          </w:tcPr>
          <w:p>
            <w:pPr>
              <w:spacing w:line="440" w:lineRule="exact"/>
              <w:rPr>
                <w:rFonts w:asciiTheme="majorEastAsia" w:hAnsiTheme="majorEastAsia" w:eastAsiaTheme="majorEastAsia" w:cstheme="majorEastAsia"/>
                <w:color w:val="auto"/>
                <w:szCs w:val="22"/>
                <w:highlight w:val="none"/>
              </w:rPr>
            </w:pPr>
            <w:r>
              <w:rPr>
                <w:rFonts w:hint="eastAsia" w:asciiTheme="majorEastAsia" w:hAnsiTheme="majorEastAsia" w:eastAsiaTheme="majorEastAsia" w:cstheme="majorEastAsia"/>
                <w:color w:val="auto"/>
                <w:szCs w:val="22"/>
                <w:highlight w:val="none"/>
              </w:rPr>
              <w:t>1、小型企业、微型企业、监狱企业、残疾人福利性单位承接服务，对其价格给予10%的扣除，用扣除后的价格参与评审。满足多项优惠政策的企业，不重复享受多项价格扣除政策。</w:t>
            </w:r>
          </w:p>
          <w:p>
            <w:pPr>
              <w:spacing w:line="440" w:lineRule="exact"/>
              <w:rPr>
                <w:rFonts w:asciiTheme="majorEastAsia" w:hAnsiTheme="majorEastAsia" w:eastAsiaTheme="majorEastAsia" w:cstheme="majorEastAsia"/>
                <w:color w:val="auto"/>
                <w:szCs w:val="22"/>
                <w:highlight w:val="none"/>
              </w:rPr>
            </w:pPr>
            <w:r>
              <w:rPr>
                <w:rFonts w:hint="eastAsia" w:asciiTheme="majorEastAsia" w:hAnsiTheme="majorEastAsia" w:eastAsiaTheme="majorEastAsia" w:cstheme="majorEastAsia"/>
                <w:color w:val="auto"/>
                <w:szCs w:val="22"/>
                <w:highlight w:val="none"/>
              </w:rPr>
              <w:t>2、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扣除，用扣除后的价格参加评审。联合体各方均为小微企业的，价格扣除比例为10%。</w:t>
            </w:r>
            <w:r>
              <w:rPr>
                <w:rFonts w:hint="eastAsia" w:asciiTheme="majorEastAsia" w:hAnsiTheme="majorEastAsia" w:eastAsiaTheme="majorEastAsia" w:cstheme="majorEastAsia"/>
                <w:b/>
                <w:color w:val="auto"/>
                <w:szCs w:val="22"/>
                <w:highlight w:val="none"/>
              </w:rPr>
              <w:t>（不接受联合体投标的项目，本条不适用）</w:t>
            </w:r>
            <w:r>
              <w:rPr>
                <w:rFonts w:hint="eastAsia" w:asciiTheme="majorEastAsia" w:hAnsiTheme="majorEastAsia" w:eastAsiaTheme="majorEastAsia" w:cstheme="majorEastAsia"/>
                <w:color w:val="auto"/>
                <w:szCs w:val="22"/>
                <w:highlight w:val="none"/>
              </w:rPr>
              <w:t>。</w:t>
            </w:r>
          </w:p>
          <w:p>
            <w:pPr>
              <w:spacing w:line="440" w:lineRule="exact"/>
              <w:rPr>
                <w:rFonts w:ascii="宋体" w:hAnsi="宋体" w:eastAsiaTheme="minorEastAsia" w:cstheme="minorBidi"/>
                <w:b/>
                <w:bCs/>
                <w:color w:val="auto"/>
                <w:szCs w:val="21"/>
                <w:highlight w:val="none"/>
              </w:rPr>
            </w:pPr>
            <w:r>
              <w:rPr>
                <w:rFonts w:hint="eastAsia" w:asciiTheme="majorEastAsia" w:hAnsiTheme="majorEastAsia" w:eastAsiaTheme="majorEastAsia" w:cstheme="majorEastAsia"/>
                <w:color w:val="auto"/>
                <w:szCs w:val="22"/>
                <w:highlight w:val="none"/>
              </w:rPr>
              <w:t>3、优惠主体资格的认定资料为《中小企业声明函》《残疾人福利性单位声明函》《监狱企业声明函》等承诺性质的资料（声明函样式见“第五章 投标文件格式”）；监狱企业如需享受优惠政策，除上述资料外，还须提供省级以上监狱管理局、戒毒管理局出具的监狱企业证明文件。</w:t>
            </w:r>
          </w:p>
        </w:tc>
      </w:tr>
    </w:tbl>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备注：</w:t>
      </w:r>
      <w:r>
        <w:rPr>
          <w:rFonts w:hint="eastAsia" w:ascii="宋体" w:hAnsi="宋体"/>
          <w:snapToGrid w:val="0"/>
          <w:color w:val="auto"/>
          <w:kern w:val="0"/>
          <w:szCs w:val="21"/>
          <w:highlight w:val="none"/>
        </w:rPr>
        <w:t>用“</w:t>
      </w:r>
      <w:r>
        <w:rPr>
          <w:rFonts w:hint="eastAsia" w:ascii="MS Mincho" w:hAnsi="MS Mincho" w:cs="MS Mincho" w:eastAsiaTheme="minorEastAsia"/>
          <w:snapToGrid w:val="0"/>
          <w:color w:val="auto"/>
          <w:kern w:val="0"/>
          <w:szCs w:val="21"/>
          <w:highlight w:val="none"/>
        </w:rPr>
        <w:t>■</w:t>
      </w:r>
      <w:r>
        <w:rPr>
          <w:rFonts w:hint="eastAsia" w:ascii="宋体" w:hAnsi="宋体"/>
          <w:snapToGrid w:val="0"/>
          <w:color w:val="auto"/>
          <w:kern w:val="0"/>
          <w:szCs w:val="21"/>
          <w:highlight w:val="none"/>
        </w:rPr>
        <w:t>”标识时表明该选项被采购人选用，用“□”标识时表明该选项未被采购人选用。</w:t>
      </w:r>
    </w:p>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二、本项目评标信息</w:t>
      </w:r>
    </w:p>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1、</w:t>
      </w:r>
      <w:r>
        <w:rPr>
          <w:rFonts w:ascii="宋体" w:hAnsi="宋体"/>
          <w:b/>
          <w:bCs/>
          <w:color w:val="auto"/>
          <w:szCs w:val="21"/>
          <w:highlight w:val="none"/>
        </w:rPr>
        <w:t>符合性检查表</w:t>
      </w:r>
    </w:p>
    <w:tbl>
      <w:tblPr>
        <w:tblStyle w:val="9"/>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670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012" w:type="dxa"/>
            <w:vAlign w:val="center"/>
          </w:tcPr>
          <w:p>
            <w:pPr>
              <w:spacing w:line="440" w:lineRule="exact"/>
              <w:jc w:val="center"/>
              <w:rPr>
                <w:rFonts w:ascii="宋体" w:hAnsi="宋体"/>
                <w:b/>
                <w:color w:val="auto"/>
                <w:highlight w:val="none"/>
              </w:rPr>
            </w:pPr>
            <w:r>
              <w:rPr>
                <w:rFonts w:ascii="宋体" w:hAnsi="宋体"/>
                <w:b/>
                <w:color w:val="auto"/>
                <w:highlight w:val="none"/>
              </w:rPr>
              <w:t>序号</w:t>
            </w:r>
          </w:p>
        </w:tc>
        <w:tc>
          <w:tcPr>
            <w:tcW w:w="6706" w:type="dxa"/>
            <w:vAlign w:val="center"/>
          </w:tcPr>
          <w:p>
            <w:pPr>
              <w:spacing w:line="440" w:lineRule="exact"/>
              <w:ind w:left="-828" w:firstLine="828"/>
              <w:jc w:val="center"/>
              <w:rPr>
                <w:rFonts w:ascii="宋体" w:hAnsi="宋体"/>
                <w:b/>
                <w:color w:val="auto"/>
                <w:sz w:val="24"/>
                <w:highlight w:val="none"/>
              </w:rPr>
            </w:pPr>
            <w:r>
              <w:rPr>
                <w:rFonts w:ascii="宋体" w:hAnsi="宋体"/>
                <w:b/>
                <w:color w:val="auto"/>
                <w:highlight w:val="none"/>
              </w:rPr>
              <w:t>评议内容</w:t>
            </w:r>
          </w:p>
        </w:tc>
        <w:tc>
          <w:tcPr>
            <w:tcW w:w="1497" w:type="dxa"/>
            <w:vAlign w:val="center"/>
          </w:tcPr>
          <w:p>
            <w:pPr>
              <w:spacing w:line="440" w:lineRule="exact"/>
              <w:ind w:left="44" w:hanging="44"/>
              <w:jc w:val="center"/>
              <w:rPr>
                <w:rFonts w:ascii="宋体" w:hAnsi="宋体"/>
                <w:b/>
                <w:color w:val="auto"/>
                <w:sz w:val="24"/>
                <w:highlight w:val="none"/>
              </w:rPr>
            </w:pPr>
            <w:r>
              <w:rPr>
                <w:rFonts w:ascii="宋体" w:hAnsi="宋体"/>
                <w:b/>
                <w:color w:val="auto"/>
                <w:highlight w:val="none"/>
              </w:rPr>
              <w:t>评议结果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1</w:t>
            </w:r>
          </w:p>
        </w:tc>
        <w:tc>
          <w:tcPr>
            <w:tcW w:w="6706" w:type="dxa"/>
            <w:vAlign w:val="center"/>
          </w:tcPr>
          <w:p>
            <w:pPr>
              <w:spacing w:line="440" w:lineRule="exact"/>
              <w:rPr>
                <w:rFonts w:ascii="宋体" w:hAnsi="宋体"/>
                <w:color w:val="auto"/>
                <w:sz w:val="24"/>
                <w:highlight w:val="none"/>
              </w:rPr>
            </w:pPr>
            <w:r>
              <w:rPr>
                <w:rFonts w:hint="eastAsia" w:hAnsi="宋体"/>
                <w:color w:val="auto"/>
                <w:szCs w:val="21"/>
                <w:highlight w:val="none"/>
              </w:rPr>
              <w:t>按照招标文件的格式详细填写“投标函”</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2</w:t>
            </w:r>
          </w:p>
        </w:tc>
        <w:tc>
          <w:tcPr>
            <w:tcW w:w="6706" w:type="dxa"/>
            <w:vAlign w:val="center"/>
          </w:tcPr>
          <w:p>
            <w:pPr>
              <w:spacing w:line="440" w:lineRule="exact"/>
              <w:rPr>
                <w:rFonts w:ascii="宋体" w:hAnsi="宋体"/>
                <w:color w:val="auto"/>
                <w:highlight w:val="none"/>
              </w:rPr>
            </w:pPr>
            <w:r>
              <w:rPr>
                <w:rFonts w:hint="eastAsia" w:hAnsi="宋体"/>
                <w:color w:val="auto"/>
                <w:szCs w:val="21"/>
                <w:highlight w:val="none"/>
              </w:rPr>
              <w:t>按照招标文件的格式详细填写“</w:t>
            </w:r>
            <w:r>
              <w:rPr>
                <w:rFonts w:hint="eastAsia" w:ascii="宋体" w:hAnsi="宋体"/>
                <w:color w:val="auto"/>
                <w:highlight w:val="none"/>
              </w:rPr>
              <w:t>政府采购投标及履约承诺函</w:t>
            </w:r>
            <w:r>
              <w:rPr>
                <w:rFonts w:hint="eastAsia" w:hAnsi="宋体"/>
                <w:color w:val="auto"/>
                <w:szCs w:val="21"/>
                <w:highlight w:val="none"/>
              </w:rPr>
              <w:t>”</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3</w:t>
            </w:r>
          </w:p>
        </w:tc>
        <w:tc>
          <w:tcPr>
            <w:tcW w:w="6706" w:type="dxa"/>
            <w:vAlign w:val="center"/>
          </w:tcPr>
          <w:p>
            <w:pPr>
              <w:spacing w:line="440" w:lineRule="exact"/>
              <w:rPr>
                <w:rFonts w:ascii="宋体" w:hAnsi="宋体"/>
                <w:color w:val="auto"/>
                <w:highlight w:val="none"/>
              </w:rPr>
            </w:pPr>
            <w:r>
              <w:rPr>
                <w:rFonts w:hint="eastAsia" w:ascii="宋体" w:hAnsi="宋体"/>
                <w:color w:val="auto"/>
                <w:highlight w:val="none"/>
              </w:rPr>
              <w:t>开标一览表未出现无报价、报价为零或有选择性报价</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4</w:t>
            </w:r>
          </w:p>
        </w:tc>
        <w:tc>
          <w:tcPr>
            <w:tcW w:w="6706" w:type="dxa"/>
            <w:vAlign w:val="center"/>
          </w:tcPr>
          <w:p>
            <w:pPr>
              <w:spacing w:line="440" w:lineRule="exact"/>
              <w:rPr>
                <w:rFonts w:ascii="宋体" w:hAnsi="宋体"/>
                <w:color w:val="auto"/>
                <w:highlight w:val="none"/>
              </w:rPr>
            </w:pPr>
            <w:r>
              <w:rPr>
                <w:rFonts w:hint="eastAsia" w:ascii="宋体" w:hAnsi="宋体"/>
                <w:color w:val="auto"/>
                <w:highlight w:val="none"/>
              </w:rPr>
              <w:t>投标总价</w:t>
            </w:r>
            <w:r>
              <w:rPr>
                <w:rFonts w:hint="eastAsia" w:ascii="宋体" w:hAnsi="宋体"/>
                <w:color w:val="auto"/>
                <w:szCs w:val="21"/>
                <w:highlight w:val="none"/>
              </w:rPr>
              <w:t>或分项报价</w:t>
            </w:r>
            <w:r>
              <w:rPr>
                <w:rFonts w:hint="eastAsia" w:ascii="宋体" w:hAnsi="宋体"/>
                <w:color w:val="auto"/>
                <w:highlight w:val="none"/>
              </w:rPr>
              <w:t>未超过预算控制金额</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5</w:t>
            </w:r>
          </w:p>
        </w:tc>
        <w:tc>
          <w:tcPr>
            <w:tcW w:w="6706" w:type="dxa"/>
            <w:vAlign w:val="center"/>
          </w:tcPr>
          <w:p>
            <w:pPr>
              <w:spacing w:line="440" w:lineRule="exac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评标委员会认为投标人的报价明显低于其他通过符合性审查投标人的报价，有可能影响产品质量或者不能诚信履约的，投标人能在</w:t>
            </w:r>
            <w:r>
              <w:rPr>
                <w:rFonts w:hint="eastAsia" w:asciiTheme="minorEastAsia" w:hAnsiTheme="minorEastAsia" w:eastAsiaTheme="minorEastAsia"/>
                <w:color w:val="auto"/>
                <w:szCs w:val="21"/>
                <w:highlight w:val="none"/>
              </w:rPr>
              <w:t>评标现场</w:t>
            </w:r>
            <w:r>
              <w:rPr>
                <w:rFonts w:asciiTheme="minorEastAsia" w:hAnsiTheme="minorEastAsia" w:eastAsiaTheme="minorEastAsia"/>
                <w:color w:val="auto"/>
                <w:szCs w:val="21"/>
                <w:highlight w:val="none"/>
              </w:rPr>
              <w:t>合理的时间内提供书面说明</w:t>
            </w:r>
            <w:r>
              <w:rPr>
                <w:rFonts w:hint="eastAsia" w:asciiTheme="minorEastAsia" w:hAnsiTheme="minorEastAsia" w:eastAsiaTheme="minorEastAsia"/>
                <w:color w:val="auto"/>
                <w:szCs w:val="21"/>
                <w:highlight w:val="none"/>
              </w:rPr>
              <w:t>（必要时提交相关证明材料）</w:t>
            </w:r>
            <w:r>
              <w:rPr>
                <w:rFonts w:asciiTheme="minorEastAsia" w:hAnsiTheme="minorEastAsia" w:eastAsiaTheme="minorEastAsia"/>
                <w:color w:val="auto"/>
                <w:szCs w:val="21"/>
                <w:highlight w:val="none"/>
              </w:rPr>
              <w:t>或提交</w:t>
            </w:r>
            <w:r>
              <w:rPr>
                <w:rFonts w:hint="eastAsia" w:asciiTheme="minorEastAsia" w:hAnsiTheme="minorEastAsia" w:eastAsiaTheme="minorEastAsia"/>
                <w:color w:val="auto"/>
                <w:szCs w:val="21"/>
                <w:highlight w:val="none"/>
              </w:rPr>
              <w:t>的书面说明</w:t>
            </w:r>
            <w:r>
              <w:rPr>
                <w:rFonts w:asciiTheme="minorEastAsia" w:hAnsiTheme="minorEastAsia" w:eastAsiaTheme="minorEastAsia"/>
                <w:color w:val="auto"/>
                <w:szCs w:val="21"/>
                <w:highlight w:val="none"/>
              </w:rPr>
              <w:t>能证明其报价合理性</w:t>
            </w:r>
            <w:r>
              <w:rPr>
                <w:rFonts w:hint="eastAsia" w:asciiTheme="minorEastAsia" w:hAnsiTheme="minorEastAsia" w:eastAsiaTheme="minorEastAsia"/>
                <w:color w:val="auto"/>
                <w:szCs w:val="21"/>
                <w:highlight w:val="none"/>
              </w:rPr>
              <w:t>。（若</w:t>
            </w:r>
            <w:r>
              <w:rPr>
                <w:rFonts w:asciiTheme="minorEastAsia" w:hAnsiTheme="minorEastAsia" w:eastAsiaTheme="minorEastAsia"/>
                <w:color w:val="auto"/>
                <w:szCs w:val="21"/>
                <w:highlight w:val="none"/>
              </w:rPr>
              <w:t>评标委员会</w:t>
            </w:r>
            <w:r>
              <w:rPr>
                <w:rFonts w:hint="eastAsia" w:asciiTheme="minorEastAsia" w:hAnsiTheme="minorEastAsia" w:eastAsiaTheme="minorEastAsia"/>
                <w:color w:val="auto"/>
                <w:szCs w:val="21"/>
                <w:highlight w:val="none"/>
              </w:rPr>
              <w:t>成员对是否须由投标人做出报价合理性说明，以及书面说明是否采纳等判断不一致的，按照“少数服从多数”的原则确定。）</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6</w:t>
            </w:r>
          </w:p>
        </w:tc>
        <w:tc>
          <w:tcPr>
            <w:tcW w:w="6706" w:type="dxa"/>
            <w:vAlign w:val="center"/>
          </w:tcPr>
          <w:p>
            <w:pPr>
              <w:spacing w:line="440" w:lineRule="exact"/>
              <w:rPr>
                <w:rFonts w:ascii="宋体" w:hAnsi="宋体"/>
                <w:color w:val="auto"/>
                <w:highlight w:val="none"/>
              </w:rPr>
            </w:pPr>
            <w:r>
              <w:rPr>
                <w:color w:val="auto"/>
                <w:szCs w:val="21"/>
                <w:highlight w:val="none"/>
              </w:rPr>
              <w:t>实质性满足招标文件要求</w:t>
            </w:r>
            <w:r>
              <w:rPr>
                <w:rFonts w:hint="eastAsia"/>
                <w:color w:val="auto"/>
                <w:szCs w:val="21"/>
                <w:highlight w:val="none"/>
              </w:rPr>
              <w:t>和条件</w:t>
            </w:r>
            <w:r>
              <w:rPr>
                <w:color w:val="auto"/>
                <w:szCs w:val="21"/>
                <w:highlight w:val="none"/>
              </w:rPr>
              <w:t>（</w:t>
            </w:r>
            <w:r>
              <w:rPr>
                <w:rFonts w:hint="eastAsia" w:ascii="宋体" w:hAnsi="宋体"/>
                <w:color w:val="auto"/>
                <w:highlight w:val="none"/>
              </w:rPr>
              <w:t>不可偏离项检查</w:t>
            </w:r>
            <w:r>
              <w:rPr>
                <w:color w:val="auto"/>
                <w:szCs w:val="21"/>
                <w:highlight w:val="none"/>
              </w:rPr>
              <w:t>）</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7</w:t>
            </w:r>
          </w:p>
        </w:tc>
        <w:tc>
          <w:tcPr>
            <w:tcW w:w="6706" w:type="dxa"/>
            <w:vAlign w:val="center"/>
          </w:tcPr>
          <w:p>
            <w:pPr>
              <w:spacing w:line="440" w:lineRule="exact"/>
              <w:rPr>
                <w:color w:val="auto"/>
                <w:szCs w:val="21"/>
                <w:highlight w:val="none"/>
              </w:rPr>
            </w:pPr>
            <w:r>
              <w:rPr>
                <w:color w:val="auto"/>
                <w:szCs w:val="21"/>
                <w:highlight w:val="none"/>
              </w:rPr>
              <w:t>投标文件载明的项目服务期</w:t>
            </w:r>
            <w:r>
              <w:rPr>
                <w:rFonts w:hint="eastAsia"/>
                <w:color w:val="auto"/>
                <w:szCs w:val="21"/>
                <w:highlight w:val="none"/>
              </w:rPr>
              <w:t>符合</w:t>
            </w:r>
            <w:r>
              <w:rPr>
                <w:color w:val="auto"/>
                <w:szCs w:val="21"/>
                <w:highlight w:val="none"/>
              </w:rPr>
              <w:t>招标文件规定的期限</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8</w:t>
            </w:r>
          </w:p>
        </w:tc>
        <w:tc>
          <w:tcPr>
            <w:tcW w:w="6706" w:type="dxa"/>
            <w:vAlign w:val="center"/>
          </w:tcPr>
          <w:p>
            <w:pPr>
              <w:spacing w:line="440" w:lineRule="exact"/>
              <w:jc w:val="left"/>
              <w:rPr>
                <w:rFonts w:ascii="宋体" w:hAnsi="宋体"/>
                <w:color w:val="auto"/>
                <w:highlight w:val="none"/>
              </w:rPr>
            </w:pPr>
            <w:r>
              <w:rPr>
                <w:rFonts w:hint="eastAsia" w:hAnsi="宋体"/>
                <w:color w:val="auto"/>
                <w:szCs w:val="21"/>
                <w:highlight w:val="none"/>
              </w:rPr>
              <w:t>《技术偏离表》和《商务偏离表》已提交</w:t>
            </w:r>
          </w:p>
        </w:tc>
        <w:tc>
          <w:tcPr>
            <w:tcW w:w="1497" w:type="dxa"/>
            <w:vAlign w:val="center"/>
          </w:tcPr>
          <w:p>
            <w:pPr>
              <w:spacing w:line="440" w:lineRule="exact"/>
              <w:ind w:left="57"/>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9</w:t>
            </w:r>
          </w:p>
        </w:tc>
        <w:tc>
          <w:tcPr>
            <w:tcW w:w="6706" w:type="dxa"/>
            <w:vAlign w:val="center"/>
          </w:tcPr>
          <w:p>
            <w:pPr>
              <w:spacing w:line="440" w:lineRule="exact"/>
              <w:rPr>
                <w:rFonts w:ascii="宋体" w:hAnsi="宋体"/>
                <w:color w:val="auto"/>
                <w:highlight w:val="none"/>
              </w:rPr>
            </w:pPr>
            <w:r>
              <w:rPr>
                <w:rFonts w:hint="eastAsia" w:ascii="宋体" w:hAnsi="宋体"/>
                <w:color w:val="auto"/>
                <w:highlight w:val="none"/>
              </w:rPr>
              <w:t>不存在“否决性条款”列明的其他情况</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10</w:t>
            </w:r>
          </w:p>
        </w:tc>
        <w:tc>
          <w:tcPr>
            <w:tcW w:w="6706" w:type="dxa"/>
            <w:vAlign w:val="center"/>
          </w:tcPr>
          <w:p>
            <w:pPr>
              <w:spacing w:line="440" w:lineRule="exact"/>
              <w:rPr>
                <w:rFonts w:ascii="宋体" w:hAnsi="宋体"/>
                <w:color w:val="auto"/>
                <w:szCs w:val="21"/>
                <w:highlight w:val="none"/>
              </w:rPr>
            </w:pPr>
            <w:r>
              <w:rPr>
                <w:rFonts w:ascii="宋体" w:hAnsi="宋体"/>
                <w:color w:val="auto"/>
                <w:szCs w:val="21"/>
                <w:highlight w:val="none"/>
              </w:rPr>
              <w:t>结论</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通过/不通过</w:t>
            </w:r>
          </w:p>
        </w:tc>
      </w:tr>
    </w:tbl>
    <w:p>
      <w:pPr>
        <w:spacing w:line="340" w:lineRule="exact"/>
        <w:ind w:firstLine="422" w:firstLineChars="200"/>
        <w:rPr>
          <w:rFonts w:ascii="宋体" w:hAnsi="宋体"/>
          <w:b/>
          <w:color w:val="auto"/>
          <w:szCs w:val="21"/>
          <w:highlight w:val="none"/>
        </w:rPr>
      </w:pPr>
      <w:r>
        <w:rPr>
          <w:rFonts w:hint="eastAsia" w:ascii="宋体" w:hAnsi="宋体"/>
          <w:b/>
          <w:color w:val="auto"/>
          <w:szCs w:val="21"/>
          <w:highlight w:val="none"/>
        </w:rPr>
        <w:t>2、评分表</w:t>
      </w:r>
    </w:p>
    <w:tbl>
      <w:tblPr>
        <w:tblStyle w:val="9"/>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749"/>
        <w:gridCol w:w="1662"/>
        <w:gridCol w:w="679"/>
        <w:gridCol w:w="5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3090" w:type="dxa"/>
            <w:gridSpan w:val="3"/>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评分项</w:t>
            </w:r>
          </w:p>
        </w:tc>
        <w:tc>
          <w:tcPr>
            <w:tcW w:w="5413"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color w:val="auto"/>
                <w:szCs w:val="21"/>
                <w:highlight w:val="none"/>
              </w:rPr>
            </w:pPr>
            <w:r>
              <w:rPr>
                <w:rFonts w:ascii="宋体" w:hAnsi="宋体"/>
                <w:b/>
                <w:color w:val="auto"/>
                <w:szCs w:val="21"/>
                <w:highlight w:val="none"/>
              </w:rPr>
              <w:t>1</w:t>
            </w:r>
          </w:p>
        </w:tc>
        <w:tc>
          <w:tcPr>
            <w:tcW w:w="3090" w:type="dxa"/>
            <w:gridSpan w:val="3"/>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价格</w:t>
            </w:r>
          </w:p>
        </w:tc>
        <w:tc>
          <w:tcPr>
            <w:tcW w:w="5413" w:type="dxa"/>
            <w:vAlign w:val="center"/>
          </w:tcPr>
          <w:p>
            <w:pPr>
              <w:pStyle w:val="4"/>
              <w:jc w:val="center"/>
              <w:rPr>
                <w:color w:val="auto"/>
                <w:highlight w:val="none"/>
              </w:rPr>
            </w:pPr>
            <w:r>
              <w:rPr>
                <w:rFonts w:hint="eastAsia" w:ascii="宋体" w:hAnsi="宋体" w:eastAsia="宋体" w:cs="Times New Roman"/>
                <w:b/>
                <w:color w:val="auto"/>
                <w:kern w:val="2"/>
                <w:sz w:val="21"/>
                <w:szCs w:val="21"/>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color w:val="auto"/>
                <w:szCs w:val="21"/>
                <w:highlight w:val="none"/>
              </w:rPr>
            </w:pPr>
          </w:p>
        </w:tc>
        <w:tc>
          <w:tcPr>
            <w:tcW w:w="8503" w:type="dxa"/>
            <w:gridSpan w:val="4"/>
            <w:vAlign w:val="center"/>
          </w:tcPr>
          <w:p>
            <w:pPr>
              <w:spacing w:line="440" w:lineRule="exact"/>
              <w:rPr>
                <w:rFonts w:hint="eastAsia" w:ascii="宋体" w:hAnsi="宋体" w:eastAsia="宋体"/>
                <w:color w:val="auto"/>
                <w:szCs w:val="21"/>
                <w:highlight w:val="none"/>
                <w:lang w:eastAsia="zh-CN"/>
              </w:rPr>
            </w:pPr>
            <w:r>
              <w:rPr>
                <w:rFonts w:hint="eastAsia" w:ascii="宋体" w:hAnsi="宋体"/>
                <w:color w:val="auto"/>
                <w:szCs w:val="21"/>
                <w:highlight w:val="none"/>
              </w:rPr>
              <w:t>投标报价价格分=（评标基准价/投标报价）×</w:t>
            </w:r>
            <w:r>
              <w:rPr>
                <w:rFonts w:hint="eastAsia" w:ascii="宋体" w:hAnsi="宋体"/>
                <w:color w:val="auto"/>
                <w:szCs w:val="21"/>
                <w:highlight w:val="none"/>
                <w:lang w:eastAsia="zh-CN"/>
              </w:rPr>
              <w:t>权重</w:t>
            </w:r>
          </w:p>
          <w:p>
            <w:pPr>
              <w:spacing w:line="440" w:lineRule="exact"/>
              <w:jc w:val="left"/>
              <w:rPr>
                <w:rFonts w:ascii="宋体" w:hAnsi="宋体"/>
                <w:color w:val="auto"/>
                <w:szCs w:val="21"/>
                <w:highlight w:val="none"/>
              </w:rPr>
            </w:pPr>
            <w:r>
              <w:rPr>
                <w:rFonts w:hint="eastAsia" w:ascii="宋体" w:hAnsi="宋体"/>
                <w:color w:val="auto"/>
                <w:szCs w:val="21"/>
                <w:highlight w:val="none"/>
              </w:rPr>
              <w:t>评标基准价为满足招标文件要求且投标价格最低的投标报价。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color w:val="auto"/>
                <w:szCs w:val="21"/>
                <w:highlight w:val="none"/>
              </w:rPr>
            </w:pPr>
            <w:r>
              <w:rPr>
                <w:rFonts w:ascii="宋体" w:hAnsi="宋体"/>
                <w:b/>
                <w:color w:val="auto"/>
                <w:szCs w:val="21"/>
                <w:highlight w:val="none"/>
              </w:rPr>
              <w:t>2</w:t>
            </w:r>
          </w:p>
        </w:tc>
        <w:tc>
          <w:tcPr>
            <w:tcW w:w="3090" w:type="dxa"/>
            <w:gridSpan w:val="3"/>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技术部分</w:t>
            </w:r>
          </w:p>
        </w:tc>
        <w:tc>
          <w:tcPr>
            <w:tcW w:w="5413" w:type="dxa"/>
            <w:vAlign w:val="center"/>
          </w:tcPr>
          <w:p>
            <w:pPr>
              <w:spacing w:line="440" w:lineRule="exact"/>
              <w:jc w:val="center"/>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restart"/>
            <w:vAlign w:val="center"/>
          </w:tcPr>
          <w:p>
            <w:pPr>
              <w:spacing w:line="440" w:lineRule="exact"/>
              <w:jc w:val="center"/>
              <w:rPr>
                <w:rFonts w:ascii="宋体" w:hAnsi="宋体"/>
                <w:color w:val="auto"/>
                <w:szCs w:val="21"/>
                <w:highlight w:val="none"/>
              </w:rPr>
            </w:pPr>
          </w:p>
        </w:tc>
        <w:tc>
          <w:tcPr>
            <w:tcW w:w="749"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1662"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评分因素</w:t>
            </w:r>
          </w:p>
        </w:tc>
        <w:tc>
          <w:tcPr>
            <w:tcW w:w="679"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权重</w:t>
            </w:r>
          </w:p>
        </w:tc>
        <w:tc>
          <w:tcPr>
            <w:tcW w:w="5413"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0"/>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p>
        </w:tc>
        <w:tc>
          <w:tcPr>
            <w:tcW w:w="1662" w:type="dxa"/>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整体策划</w:t>
            </w:r>
            <w:r>
              <w:rPr>
                <w:rFonts w:hint="eastAsia" w:ascii="宋体" w:hAnsi="宋体" w:cs="宋体"/>
                <w:color w:val="auto"/>
                <w:kern w:val="0"/>
                <w:szCs w:val="21"/>
                <w:highlight w:val="none"/>
                <w:lang w:eastAsia="zh-CN"/>
              </w:rPr>
              <w:t>方案</w:t>
            </w:r>
          </w:p>
        </w:tc>
        <w:tc>
          <w:tcPr>
            <w:tcW w:w="679" w:type="dxa"/>
            <w:vAlign w:val="center"/>
          </w:tcPr>
          <w:p>
            <w:pPr>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10</w:t>
            </w:r>
          </w:p>
        </w:tc>
        <w:tc>
          <w:tcPr>
            <w:tcW w:w="5413" w:type="dxa"/>
            <w:vAlign w:val="top"/>
          </w:tcPr>
          <w:p>
            <w:pPr>
              <w:spacing w:line="24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活动策划方案包含但不限于以下内容：</w:t>
            </w:r>
          </w:p>
          <w:p>
            <w:pPr>
              <w:spacing w:line="24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1.准确把握活动主题，能够结合国家和省、市有关政策；2.活动理念、活动主题、竞赛规则，</w:t>
            </w:r>
          </w:p>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满足以上要求得</w:t>
            </w:r>
            <w:r>
              <w:rPr>
                <w:rFonts w:hint="eastAsia" w:ascii="宋体" w:hAnsi="宋体" w:cs="宋体"/>
                <w:color w:val="auto"/>
                <w:sz w:val="21"/>
                <w:szCs w:val="21"/>
                <w:highlight w:val="none"/>
                <w:lang w:val="en-US" w:eastAsia="zh-CN"/>
              </w:rPr>
              <w:t>4分，</w:t>
            </w:r>
            <w:r>
              <w:rPr>
                <w:rFonts w:hint="eastAsia" w:ascii="宋体" w:hAnsi="宋体" w:eastAsia="宋体" w:cs="宋体"/>
                <w:color w:val="auto"/>
                <w:sz w:val="21"/>
                <w:szCs w:val="21"/>
                <w:highlight w:val="none"/>
              </w:rPr>
              <w:t>在此基础上：</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为优（</w:t>
            </w:r>
            <w:r>
              <w:rPr>
                <w:rFonts w:hint="eastAsia" w:ascii="宋体" w:hAnsi="宋体" w:cs="宋体"/>
                <w:color w:val="auto"/>
                <w:szCs w:val="21"/>
                <w:highlight w:val="none"/>
                <w:lang w:val="en-US" w:eastAsia="zh-CN"/>
              </w:rPr>
              <w:t>活动策划方案</w:t>
            </w:r>
            <w:r>
              <w:rPr>
                <w:rFonts w:hint="eastAsia" w:ascii="宋体" w:hAnsi="宋体" w:eastAsia="宋体" w:cs="宋体"/>
                <w:color w:val="auto"/>
                <w:sz w:val="21"/>
                <w:szCs w:val="21"/>
                <w:highlight w:val="none"/>
              </w:rPr>
              <w:t>内容具体、内容针对性强、内容科学合理、内容可操作性强）的加</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为良（</w:t>
            </w:r>
            <w:r>
              <w:rPr>
                <w:rFonts w:hint="eastAsia" w:ascii="宋体" w:hAnsi="宋体" w:cs="宋体"/>
                <w:color w:val="auto"/>
                <w:szCs w:val="21"/>
                <w:highlight w:val="none"/>
                <w:lang w:val="en-US" w:eastAsia="zh-CN"/>
              </w:rPr>
              <w:t>活动策划方案</w:t>
            </w:r>
            <w:r>
              <w:rPr>
                <w:rFonts w:hint="eastAsia" w:ascii="宋体" w:hAnsi="宋体" w:eastAsia="宋体" w:cs="宋体"/>
                <w:color w:val="auto"/>
                <w:sz w:val="21"/>
                <w:szCs w:val="21"/>
                <w:highlight w:val="none"/>
              </w:rPr>
              <w:t>内容较具体、内容针对性较强、内容较科学合理、内容可操作性较强）加</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为中(</w:t>
            </w:r>
            <w:r>
              <w:rPr>
                <w:rFonts w:hint="eastAsia" w:ascii="宋体" w:hAnsi="宋体" w:cs="宋体"/>
                <w:color w:val="auto"/>
                <w:szCs w:val="21"/>
                <w:highlight w:val="none"/>
                <w:lang w:val="en-US" w:eastAsia="zh-CN"/>
              </w:rPr>
              <w:t>活动策划方案</w:t>
            </w:r>
            <w:r>
              <w:rPr>
                <w:rFonts w:hint="eastAsia" w:ascii="宋体" w:hAnsi="宋体" w:eastAsia="宋体" w:cs="宋体"/>
                <w:color w:val="auto"/>
                <w:sz w:val="21"/>
                <w:szCs w:val="21"/>
                <w:highlight w:val="none"/>
              </w:rPr>
              <w:t>内容具体性一般、内容针对性一般、内容科学合理性一般、内容可操作性一般)加</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w:t>
            </w:r>
            <w:r>
              <w:rPr>
                <w:rFonts w:hint="eastAsia" w:ascii="宋体" w:hAnsi="宋体" w:cs="宋体"/>
                <w:color w:val="auto"/>
                <w:szCs w:val="21"/>
                <w:highlight w:val="none"/>
                <w:lang w:val="en-US" w:eastAsia="zh-CN"/>
              </w:rPr>
              <w:t>活动策划方案</w:t>
            </w:r>
            <w:r>
              <w:rPr>
                <w:rFonts w:hint="eastAsia" w:ascii="宋体" w:hAnsi="宋体" w:eastAsia="宋体" w:cs="宋体"/>
                <w:color w:val="auto"/>
                <w:sz w:val="21"/>
                <w:szCs w:val="21"/>
                <w:highlight w:val="none"/>
              </w:rPr>
              <w:t>内容不具体、无针对性、内容不合理、可操作性差）的不加分；</w:t>
            </w:r>
          </w:p>
          <w:p>
            <w:pP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为差专家须书面说明理由，并记录在档。未提供</w:t>
            </w:r>
            <w:r>
              <w:rPr>
                <w:rFonts w:hint="eastAsia" w:ascii="宋体" w:hAnsi="宋体" w:cs="宋体"/>
                <w:color w:val="auto"/>
                <w:szCs w:val="21"/>
                <w:highlight w:val="none"/>
                <w:lang w:val="en-US" w:eastAsia="zh-CN"/>
              </w:rPr>
              <w:t>活动策划方案</w:t>
            </w:r>
            <w:r>
              <w:rPr>
                <w:rFonts w:hint="eastAsia" w:ascii="宋体" w:hAnsi="宋体" w:eastAsia="宋体" w:cs="宋体"/>
                <w:color w:val="auto"/>
                <w:sz w:val="21"/>
                <w:szCs w:val="21"/>
                <w:highlight w:val="none"/>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2</w:t>
            </w:r>
          </w:p>
        </w:tc>
        <w:tc>
          <w:tcPr>
            <w:tcW w:w="1662" w:type="dxa"/>
            <w:vAlign w:val="center"/>
          </w:tcPr>
          <w:p>
            <w:pPr>
              <w:jc w:val="center"/>
              <w:rPr>
                <w:rFonts w:ascii="宋体" w:hAnsi="宋体" w:eastAsia="宋体" w:cs="Times New Roman"/>
                <w:color w:val="auto"/>
                <w:kern w:val="2"/>
                <w:sz w:val="21"/>
                <w:szCs w:val="21"/>
                <w:highlight w:val="none"/>
                <w:lang w:val="en-US" w:eastAsia="zh-CN" w:bidi="ar-SA"/>
              </w:rPr>
            </w:pP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组织发动</w:t>
            </w:r>
            <w:r>
              <w:rPr>
                <w:rFonts w:hint="eastAsia" w:ascii="宋体" w:hAnsi="宋体" w:cs="宋体"/>
                <w:color w:val="auto"/>
                <w:kern w:val="0"/>
                <w:szCs w:val="21"/>
                <w:highlight w:val="none"/>
                <w:lang w:eastAsia="zh-CN"/>
              </w:rPr>
              <w:t>方案</w:t>
            </w:r>
          </w:p>
        </w:tc>
        <w:tc>
          <w:tcPr>
            <w:tcW w:w="679" w:type="dxa"/>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5</w:t>
            </w:r>
          </w:p>
        </w:tc>
        <w:tc>
          <w:tcPr>
            <w:tcW w:w="5413" w:type="dxa"/>
            <w:vAlign w:val="top"/>
          </w:tcPr>
          <w:p>
            <w:pPr>
              <w:rPr>
                <w:rFonts w:hint="eastAsia" w:ascii="宋体" w:hAnsi="宋体" w:cs="宋体"/>
                <w:color w:val="auto"/>
                <w:szCs w:val="21"/>
                <w:highlight w:val="none"/>
                <w:lang w:val="en-US" w:eastAsia="zh-CN"/>
              </w:rPr>
            </w:pP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组织发动</w:t>
            </w:r>
            <w:r>
              <w:rPr>
                <w:rFonts w:hint="eastAsia" w:ascii="宋体" w:hAnsi="宋体" w:cs="宋体"/>
                <w:color w:val="auto"/>
                <w:kern w:val="0"/>
                <w:szCs w:val="21"/>
                <w:highlight w:val="none"/>
                <w:lang w:eastAsia="zh-CN"/>
              </w:rPr>
              <w:t>方案</w:t>
            </w:r>
            <w:r>
              <w:rPr>
                <w:rFonts w:hint="eastAsia" w:ascii="宋体" w:hAnsi="宋体" w:cs="宋体"/>
                <w:color w:val="auto"/>
                <w:szCs w:val="21"/>
                <w:highlight w:val="none"/>
                <w:lang w:val="en-US" w:eastAsia="zh-CN"/>
              </w:rPr>
              <w:t>包含但不限于以下内容：</w:t>
            </w:r>
          </w:p>
          <w:p>
            <w:pPr>
              <w:rPr>
                <w:rFonts w:hint="eastAsia" w:ascii="宋体" w:hAnsi="宋体" w:cs="宋体"/>
                <w:color w:val="auto"/>
                <w:kern w:val="0"/>
                <w:szCs w:val="21"/>
                <w:highlight w:val="none"/>
                <w:lang w:eastAsia="zh-CN"/>
              </w:rPr>
            </w:pPr>
            <w:r>
              <w:rPr>
                <w:rFonts w:hint="eastAsia" w:ascii="宋体" w:hAnsi="宋体" w:cs="宋体"/>
                <w:color w:val="auto"/>
                <w:szCs w:val="21"/>
                <w:highlight w:val="none"/>
                <w:lang w:val="en-US" w:eastAsia="zh-CN"/>
              </w:rPr>
              <w:t>1.投标人的</w:t>
            </w:r>
            <w:r>
              <w:rPr>
                <w:rFonts w:hint="eastAsia" w:ascii="宋体" w:hAnsi="宋体" w:cs="宋体"/>
                <w:color w:val="auto"/>
                <w:kern w:val="0"/>
                <w:szCs w:val="21"/>
                <w:highlight w:val="none"/>
                <w:lang w:val="en-US" w:eastAsia="zh-CN"/>
              </w:rPr>
              <w:t>组织策划能力</w:t>
            </w:r>
            <w:r>
              <w:rPr>
                <w:rFonts w:hint="eastAsia" w:ascii="宋体" w:hAnsi="宋体" w:cs="宋体"/>
                <w:color w:val="auto"/>
                <w:kern w:val="0"/>
                <w:szCs w:val="21"/>
                <w:highlight w:val="none"/>
                <w:lang w:eastAsia="zh-CN"/>
              </w:rPr>
              <w:t>；</w:t>
            </w:r>
          </w:p>
          <w:p>
            <w:pP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2.</w:t>
            </w:r>
            <w:r>
              <w:rPr>
                <w:rFonts w:ascii="宋体" w:hAnsi="宋体" w:cs="宋体"/>
                <w:color w:val="auto"/>
                <w:kern w:val="0"/>
                <w:szCs w:val="21"/>
                <w:highlight w:val="none"/>
              </w:rPr>
              <w:t>组建</w:t>
            </w:r>
            <w:r>
              <w:rPr>
                <w:rFonts w:hint="eastAsia" w:ascii="宋体" w:hAnsi="宋体" w:cs="宋体"/>
                <w:color w:val="auto"/>
                <w:kern w:val="0"/>
                <w:szCs w:val="21"/>
                <w:highlight w:val="none"/>
              </w:rPr>
              <w:t>活动</w:t>
            </w:r>
            <w:r>
              <w:rPr>
                <w:rFonts w:ascii="宋体" w:hAnsi="宋体" w:cs="宋体"/>
                <w:color w:val="auto"/>
                <w:kern w:val="0"/>
                <w:szCs w:val="21"/>
                <w:highlight w:val="none"/>
              </w:rPr>
              <w:t>工作核心团队</w:t>
            </w:r>
            <w:r>
              <w:rPr>
                <w:rFonts w:hint="eastAsia" w:ascii="宋体" w:hAnsi="宋体" w:cs="宋体"/>
                <w:color w:val="auto"/>
                <w:kern w:val="0"/>
                <w:szCs w:val="21"/>
                <w:highlight w:val="none"/>
                <w:lang w:eastAsia="zh-CN"/>
              </w:rPr>
              <w:t>、</w:t>
            </w:r>
            <w:r>
              <w:rPr>
                <w:rFonts w:ascii="宋体" w:hAnsi="宋体" w:cs="宋体"/>
                <w:color w:val="auto"/>
                <w:kern w:val="0"/>
                <w:szCs w:val="21"/>
                <w:highlight w:val="none"/>
              </w:rPr>
              <w:t>调动各区残联的工作力量，组织发动符合条件的</w:t>
            </w:r>
            <w:r>
              <w:rPr>
                <w:rFonts w:hint="eastAsia" w:ascii="宋体" w:hAnsi="宋体" w:cs="宋体"/>
                <w:color w:val="auto"/>
                <w:kern w:val="0"/>
                <w:szCs w:val="21"/>
                <w:highlight w:val="none"/>
              </w:rPr>
              <w:t>机构</w:t>
            </w:r>
            <w:r>
              <w:rPr>
                <w:rFonts w:ascii="宋体" w:hAnsi="宋体" w:cs="宋体"/>
                <w:color w:val="auto"/>
                <w:kern w:val="0"/>
                <w:szCs w:val="21"/>
                <w:highlight w:val="none"/>
              </w:rPr>
              <w:t>参赛</w:t>
            </w:r>
            <w:r>
              <w:rPr>
                <w:rFonts w:hint="eastAsia" w:ascii="宋体" w:hAnsi="宋体" w:cs="宋体"/>
                <w:color w:val="auto"/>
                <w:kern w:val="0"/>
                <w:szCs w:val="21"/>
                <w:highlight w:val="none"/>
                <w:lang w:eastAsia="zh-CN"/>
              </w:rPr>
              <w:t>；</w:t>
            </w:r>
          </w:p>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满足以上要求得</w:t>
            </w:r>
            <w:r>
              <w:rPr>
                <w:rFonts w:hint="eastAsia" w:ascii="宋体" w:hAnsi="宋体" w:cs="宋体"/>
                <w:color w:val="auto"/>
                <w:sz w:val="21"/>
                <w:szCs w:val="21"/>
                <w:highlight w:val="none"/>
                <w:lang w:val="en-US" w:eastAsia="zh-CN"/>
              </w:rPr>
              <w:t>2分，</w:t>
            </w:r>
            <w:r>
              <w:rPr>
                <w:rFonts w:hint="eastAsia" w:ascii="宋体" w:hAnsi="宋体" w:eastAsia="宋体" w:cs="宋体"/>
                <w:color w:val="auto"/>
                <w:sz w:val="21"/>
                <w:szCs w:val="21"/>
                <w:highlight w:val="none"/>
              </w:rPr>
              <w:t>在此基础上：</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为优（</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组织发动</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内容具体、内容针对性强、内容科学合理、内容可操作性强）的加</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为良（</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组织发动</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内容较具体、内容针对性较强、内容较科学合理、内容可操作性较强）加</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为中(</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组织发动</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内容具体性一般、内容针对性一般、内容科学合理性一般、内容可操作性一般)加</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组织发动</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内容不具体、无针对性、内容不合理、可操作性差）的不加分；</w:t>
            </w:r>
          </w:p>
          <w:p>
            <w:pPr>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为差专家须书面说明理由，并记录在档。未提供</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组织发动</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3</w:t>
            </w:r>
          </w:p>
        </w:tc>
        <w:tc>
          <w:tcPr>
            <w:tcW w:w="1662" w:type="dxa"/>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s="宋体"/>
                <w:color w:val="auto"/>
                <w:kern w:val="0"/>
                <w:szCs w:val="21"/>
                <w:highlight w:val="none"/>
                <w:lang w:val="en-US" w:eastAsia="zh-CN"/>
              </w:rPr>
              <w:t>赛前</w:t>
            </w:r>
            <w:r>
              <w:rPr>
                <w:rFonts w:ascii="宋体" w:hAnsi="宋体" w:cs="宋体"/>
                <w:color w:val="auto"/>
                <w:kern w:val="0"/>
                <w:szCs w:val="21"/>
                <w:highlight w:val="none"/>
              </w:rPr>
              <w:t>辅导培训</w:t>
            </w:r>
            <w:r>
              <w:rPr>
                <w:rFonts w:hint="eastAsia" w:ascii="宋体" w:hAnsi="宋体" w:cs="宋体"/>
                <w:color w:val="auto"/>
                <w:kern w:val="0"/>
                <w:szCs w:val="21"/>
                <w:highlight w:val="none"/>
                <w:lang w:eastAsia="zh-CN"/>
              </w:rPr>
              <w:t>方案</w:t>
            </w:r>
          </w:p>
        </w:tc>
        <w:tc>
          <w:tcPr>
            <w:tcW w:w="679" w:type="dxa"/>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5</w:t>
            </w:r>
          </w:p>
        </w:tc>
        <w:tc>
          <w:tcPr>
            <w:tcW w:w="5413" w:type="dxa"/>
            <w:vAlign w:val="top"/>
          </w:tcPr>
          <w:p>
            <w:pPr>
              <w:ind w:left="-78" w:leftChars="-37" w:right="-73" w:rightChars="-35"/>
              <w:jc w:val="left"/>
              <w:rPr>
                <w:rFonts w:hint="eastAsia" w:ascii="宋体" w:hAnsi="宋体" w:cs="宋体"/>
                <w:color w:val="auto"/>
                <w:szCs w:val="21"/>
                <w:highlight w:val="none"/>
                <w:lang w:val="en-US" w:eastAsia="zh-CN"/>
              </w:rPr>
            </w:pPr>
            <w:r>
              <w:rPr>
                <w:rFonts w:hint="eastAsia" w:ascii="宋体" w:hAnsi="宋体" w:cs="宋体"/>
                <w:color w:val="auto"/>
                <w:kern w:val="0"/>
                <w:szCs w:val="21"/>
                <w:highlight w:val="none"/>
                <w:lang w:val="en-US" w:eastAsia="zh-CN"/>
              </w:rPr>
              <w:t>赛前</w:t>
            </w:r>
            <w:r>
              <w:rPr>
                <w:rFonts w:ascii="宋体" w:hAnsi="宋体" w:cs="宋体"/>
                <w:color w:val="auto"/>
                <w:kern w:val="0"/>
                <w:szCs w:val="21"/>
                <w:highlight w:val="none"/>
              </w:rPr>
              <w:t>辅导培训</w:t>
            </w:r>
            <w:r>
              <w:rPr>
                <w:rFonts w:hint="eastAsia" w:ascii="宋体" w:hAnsi="宋体" w:cs="宋体"/>
                <w:color w:val="auto"/>
                <w:kern w:val="0"/>
                <w:szCs w:val="21"/>
                <w:highlight w:val="none"/>
                <w:lang w:eastAsia="zh-CN"/>
              </w:rPr>
              <w:t>方案</w:t>
            </w:r>
            <w:r>
              <w:rPr>
                <w:rFonts w:hint="eastAsia" w:ascii="宋体" w:hAnsi="宋体" w:cs="宋体"/>
                <w:color w:val="auto"/>
                <w:szCs w:val="21"/>
                <w:highlight w:val="none"/>
                <w:lang w:val="en-US" w:eastAsia="zh-CN"/>
              </w:rPr>
              <w:t>包含但不限于以下内容：</w:t>
            </w:r>
          </w:p>
          <w:p>
            <w:pPr>
              <w:ind w:left="-78" w:leftChars="-37" w:right="-73" w:rightChars="-35"/>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1.</w:t>
            </w:r>
            <w:r>
              <w:rPr>
                <w:rFonts w:ascii="宋体" w:hAnsi="宋体" w:cs="宋体"/>
                <w:color w:val="auto"/>
                <w:kern w:val="0"/>
                <w:szCs w:val="21"/>
                <w:highlight w:val="none"/>
              </w:rPr>
              <w:t>能够针对不同培训对象和培训目的，设计科学合理的培训内容</w:t>
            </w:r>
            <w:r>
              <w:rPr>
                <w:rFonts w:hint="eastAsia" w:ascii="宋体" w:hAnsi="宋体" w:cs="宋体"/>
                <w:color w:val="auto"/>
                <w:kern w:val="0"/>
                <w:szCs w:val="21"/>
                <w:highlight w:val="none"/>
                <w:lang w:eastAsia="zh-CN"/>
              </w:rPr>
              <w:t>；</w:t>
            </w:r>
          </w:p>
          <w:p>
            <w:pPr>
              <w:ind w:left="-78" w:leftChars="-37" w:right="-73" w:rightChars="-35"/>
              <w:jc w:val="left"/>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rPr>
              <w:t>2.</w:t>
            </w:r>
            <w:r>
              <w:rPr>
                <w:rFonts w:ascii="宋体" w:hAnsi="宋体" w:cs="宋体"/>
                <w:color w:val="auto"/>
                <w:kern w:val="0"/>
                <w:szCs w:val="21"/>
                <w:highlight w:val="none"/>
              </w:rPr>
              <w:t>有组织好培训工作的能力和基础</w:t>
            </w:r>
            <w:r>
              <w:rPr>
                <w:rFonts w:hint="eastAsia" w:ascii="宋体" w:hAnsi="宋体" w:cs="宋体"/>
                <w:color w:val="auto"/>
                <w:kern w:val="0"/>
                <w:szCs w:val="21"/>
                <w:highlight w:val="none"/>
                <w:lang w:eastAsia="zh-CN"/>
              </w:rPr>
              <w:t>；</w:t>
            </w:r>
          </w:p>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满足以上要求得</w:t>
            </w:r>
            <w:r>
              <w:rPr>
                <w:rFonts w:hint="eastAsia" w:ascii="宋体" w:hAnsi="宋体" w:cs="宋体"/>
                <w:color w:val="auto"/>
                <w:sz w:val="21"/>
                <w:szCs w:val="21"/>
                <w:highlight w:val="none"/>
                <w:lang w:val="en-US" w:eastAsia="zh-CN"/>
              </w:rPr>
              <w:t>2分，</w:t>
            </w:r>
            <w:r>
              <w:rPr>
                <w:rFonts w:hint="eastAsia" w:ascii="宋体" w:hAnsi="宋体" w:eastAsia="宋体" w:cs="宋体"/>
                <w:color w:val="auto"/>
                <w:sz w:val="21"/>
                <w:szCs w:val="21"/>
                <w:highlight w:val="none"/>
              </w:rPr>
              <w:t>在此基础上：</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为优（</w:t>
            </w:r>
            <w:r>
              <w:rPr>
                <w:rFonts w:hint="eastAsia" w:ascii="宋体" w:hAnsi="宋体" w:cs="宋体"/>
                <w:color w:val="auto"/>
                <w:kern w:val="0"/>
                <w:szCs w:val="21"/>
                <w:highlight w:val="none"/>
                <w:lang w:val="en-US" w:eastAsia="zh-CN"/>
              </w:rPr>
              <w:t>赛前</w:t>
            </w:r>
            <w:r>
              <w:rPr>
                <w:rFonts w:ascii="宋体" w:hAnsi="宋体" w:cs="宋体"/>
                <w:color w:val="auto"/>
                <w:kern w:val="0"/>
                <w:szCs w:val="21"/>
                <w:highlight w:val="none"/>
              </w:rPr>
              <w:t>辅导培训</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内容具体、内容针对性强、内容科学合理、内容可操作性强）的加</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为良（</w:t>
            </w:r>
            <w:r>
              <w:rPr>
                <w:rFonts w:hint="eastAsia" w:ascii="宋体" w:hAnsi="宋体" w:cs="宋体"/>
                <w:color w:val="auto"/>
                <w:kern w:val="0"/>
                <w:szCs w:val="21"/>
                <w:highlight w:val="none"/>
                <w:lang w:val="en-US" w:eastAsia="zh-CN"/>
              </w:rPr>
              <w:t>赛前</w:t>
            </w:r>
            <w:r>
              <w:rPr>
                <w:rFonts w:ascii="宋体" w:hAnsi="宋体" w:cs="宋体"/>
                <w:color w:val="auto"/>
                <w:kern w:val="0"/>
                <w:szCs w:val="21"/>
                <w:highlight w:val="none"/>
              </w:rPr>
              <w:t>辅导培训</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内容较具体、内容针对性较强、内容较科学合理、内容可操作性较强）加</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为中(</w:t>
            </w:r>
            <w:r>
              <w:rPr>
                <w:rFonts w:hint="eastAsia" w:ascii="宋体" w:hAnsi="宋体" w:cs="宋体"/>
                <w:color w:val="auto"/>
                <w:kern w:val="0"/>
                <w:szCs w:val="21"/>
                <w:highlight w:val="none"/>
                <w:lang w:val="en-US" w:eastAsia="zh-CN"/>
              </w:rPr>
              <w:t>赛前</w:t>
            </w:r>
            <w:r>
              <w:rPr>
                <w:rFonts w:ascii="宋体" w:hAnsi="宋体" w:cs="宋体"/>
                <w:color w:val="auto"/>
                <w:kern w:val="0"/>
                <w:szCs w:val="21"/>
                <w:highlight w:val="none"/>
              </w:rPr>
              <w:t>辅导培训</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内容具体性一般、内容针对性一般、内容科学合理性一般、内容可操作性一般)加</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w:t>
            </w:r>
            <w:r>
              <w:rPr>
                <w:rFonts w:hint="eastAsia" w:ascii="宋体" w:hAnsi="宋体" w:cs="宋体"/>
                <w:color w:val="auto"/>
                <w:kern w:val="0"/>
                <w:szCs w:val="21"/>
                <w:highlight w:val="none"/>
                <w:lang w:val="en-US" w:eastAsia="zh-CN"/>
              </w:rPr>
              <w:t>赛前</w:t>
            </w:r>
            <w:r>
              <w:rPr>
                <w:rFonts w:ascii="宋体" w:hAnsi="宋体" w:cs="宋体"/>
                <w:color w:val="auto"/>
                <w:kern w:val="0"/>
                <w:szCs w:val="21"/>
                <w:highlight w:val="none"/>
              </w:rPr>
              <w:t>辅导培训</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内容不具体、无针对性、内容不合理、可操作性差）的不加分；</w:t>
            </w:r>
          </w:p>
          <w:p>
            <w:pPr>
              <w:ind w:left="-78" w:leftChars="-37" w:right="-73" w:rightChars="-35"/>
              <w:jc w:val="left"/>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为差专家须书面说明理由，并记录在档。未提供</w:t>
            </w:r>
            <w:r>
              <w:rPr>
                <w:rFonts w:hint="eastAsia" w:ascii="宋体" w:hAnsi="宋体" w:cs="宋体"/>
                <w:color w:val="auto"/>
                <w:kern w:val="0"/>
                <w:szCs w:val="21"/>
                <w:highlight w:val="none"/>
                <w:lang w:val="en-US" w:eastAsia="zh-CN"/>
              </w:rPr>
              <w:t>赛前</w:t>
            </w:r>
            <w:r>
              <w:rPr>
                <w:rFonts w:ascii="宋体" w:hAnsi="宋体" w:cs="宋体"/>
                <w:color w:val="auto"/>
                <w:kern w:val="0"/>
                <w:szCs w:val="21"/>
                <w:highlight w:val="none"/>
              </w:rPr>
              <w:t>辅导培训</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1662" w:type="dxa"/>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评审组织</w:t>
            </w:r>
            <w:r>
              <w:rPr>
                <w:rFonts w:hint="eastAsia" w:ascii="宋体" w:hAnsi="宋体" w:cs="宋体"/>
                <w:color w:val="auto"/>
                <w:kern w:val="0"/>
                <w:szCs w:val="21"/>
                <w:highlight w:val="none"/>
                <w:lang w:eastAsia="zh-CN"/>
              </w:rPr>
              <w:t>方案</w:t>
            </w:r>
          </w:p>
        </w:tc>
        <w:tc>
          <w:tcPr>
            <w:tcW w:w="679" w:type="dxa"/>
            <w:vAlign w:val="center"/>
          </w:tcPr>
          <w:p>
            <w:pPr>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cs="Times New Roman"/>
                <w:color w:val="auto"/>
                <w:kern w:val="2"/>
                <w:sz w:val="21"/>
                <w:szCs w:val="21"/>
                <w:highlight w:val="none"/>
                <w:lang w:val="en-US" w:eastAsia="zh-CN" w:bidi="ar-SA"/>
              </w:rPr>
              <w:t>5</w:t>
            </w:r>
          </w:p>
        </w:tc>
        <w:tc>
          <w:tcPr>
            <w:tcW w:w="5413" w:type="dxa"/>
            <w:vAlign w:val="top"/>
          </w:tcPr>
          <w:p>
            <w:pPr>
              <w:rPr>
                <w:rFonts w:hint="eastAsia" w:ascii="宋体" w:hAnsi="宋体" w:cs="宋体"/>
                <w:color w:val="auto"/>
                <w:szCs w:val="21"/>
                <w:highlight w:val="none"/>
                <w:lang w:eastAsia="zh-CN"/>
              </w:rPr>
            </w:pP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评审组织</w:t>
            </w:r>
            <w:r>
              <w:rPr>
                <w:rFonts w:hint="eastAsia" w:ascii="宋体" w:hAnsi="宋体" w:cs="宋体"/>
                <w:color w:val="auto"/>
                <w:kern w:val="0"/>
                <w:szCs w:val="21"/>
                <w:highlight w:val="none"/>
                <w:lang w:eastAsia="zh-CN"/>
              </w:rPr>
              <w:t>方案</w:t>
            </w:r>
            <w:r>
              <w:rPr>
                <w:rFonts w:hint="eastAsia" w:ascii="宋体" w:hAnsi="宋体" w:cs="宋体"/>
                <w:color w:val="auto"/>
                <w:szCs w:val="21"/>
                <w:highlight w:val="none"/>
                <w:lang w:eastAsia="zh-CN"/>
              </w:rPr>
              <w:t>包含但不限于以下内容：</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1.评审组织流程；</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2.拟安排评审人员信息；</w:t>
            </w:r>
          </w:p>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满足以上要求得</w:t>
            </w:r>
            <w:r>
              <w:rPr>
                <w:rFonts w:hint="eastAsia" w:ascii="宋体" w:hAnsi="宋体" w:cs="宋体"/>
                <w:color w:val="auto"/>
                <w:sz w:val="21"/>
                <w:szCs w:val="21"/>
                <w:highlight w:val="none"/>
                <w:lang w:val="en-US" w:eastAsia="zh-CN"/>
              </w:rPr>
              <w:t>2分，</w:t>
            </w:r>
            <w:r>
              <w:rPr>
                <w:rFonts w:hint="eastAsia" w:ascii="宋体" w:hAnsi="宋体" w:eastAsia="宋体" w:cs="宋体"/>
                <w:color w:val="auto"/>
                <w:sz w:val="21"/>
                <w:szCs w:val="21"/>
                <w:highlight w:val="none"/>
              </w:rPr>
              <w:t>在此基础上：</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为优（</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评审组织</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内容具体、内容针对性强、内容科学合理、内容可操作性强）的加</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为良（</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评审组织</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内容较具体、内容针对性较强、内容较科学合理、内容可操作性较强）加</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为中(</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评审组织</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内容具体性一般、内容针对性一般、内容科学合理性一般、内容可操作性一般)加</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评审组织</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内容不具体、无针对性、内容不合理、可操作性差）的不加分；</w:t>
            </w:r>
          </w:p>
          <w:p>
            <w:pP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为差专家须书面说明理由，并记录在档。未提供</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评审组织</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5</w:t>
            </w:r>
          </w:p>
        </w:tc>
        <w:tc>
          <w:tcPr>
            <w:tcW w:w="1662" w:type="dxa"/>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宣传策划</w:t>
            </w:r>
            <w:r>
              <w:rPr>
                <w:rFonts w:hint="eastAsia" w:ascii="宋体" w:hAnsi="宋体" w:cs="宋体"/>
                <w:color w:val="auto"/>
                <w:kern w:val="0"/>
                <w:szCs w:val="21"/>
                <w:highlight w:val="none"/>
                <w:lang w:eastAsia="zh-CN"/>
              </w:rPr>
              <w:t>方案</w:t>
            </w:r>
          </w:p>
        </w:tc>
        <w:tc>
          <w:tcPr>
            <w:tcW w:w="679" w:type="dxa"/>
            <w:vAlign w:val="center"/>
          </w:tcPr>
          <w:p>
            <w:pPr>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cs="Times New Roman"/>
                <w:color w:val="auto"/>
                <w:kern w:val="2"/>
                <w:sz w:val="21"/>
                <w:szCs w:val="21"/>
                <w:highlight w:val="none"/>
                <w:lang w:val="en-US" w:eastAsia="zh-CN" w:bidi="ar-SA"/>
              </w:rPr>
              <w:t>6</w:t>
            </w:r>
          </w:p>
        </w:tc>
        <w:tc>
          <w:tcPr>
            <w:tcW w:w="5413" w:type="dxa"/>
            <w:vAlign w:val="top"/>
          </w:tcPr>
          <w:p>
            <w:pPr>
              <w:rPr>
                <w:rFonts w:hint="eastAsia" w:ascii="宋体" w:hAnsi="宋体" w:cs="宋体"/>
                <w:color w:val="auto"/>
                <w:szCs w:val="21"/>
                <w:highlight w:val="none"/>
                <w:lang w:eastAsia="zh-CN"/>
              </w:rPr>
            </w:pP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宣传策划</w:t>
            </w:r>
            <w:r>
              <w:rPr>
                <w:rFonts w:hint="eastAsia" w:ascii="宋体" w:hAnsi="宋体" w:cs="宋体"/>
                <w:color w:val="auto"/>
                <w:kern w:val="0"/>
                <w:szCs w:val="21"/>
                <w:highlight w:val="none"/>
                <w:lang w:eastAsia="zh-CN"/>
              </w:rPr>
              <w:t>方案</w:t>
            </w:r>
            <w:r>
              <w:rPr>
                <w:rFonts w:hint="eastAsia" w:ascii="宋体" w:hAnsi="宋体" w:cs="宋体"/>
                <w:color w:val="auto"/>
                <w:szCs w:val="21"/>
                <w:highlight w:val="none"/>
                <w:lang w:eastAsia="zh-CN"/>
              </w:rPr>
              <w:t>包含但不限于以下内容：</w:t>
            </w:r>
          </w:p>
          <w:p>
            <w:pPr>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大赛宣传内容</w:t>
            </w:r>
            <w:r>
              <w:rPr>
                <w:rFonts w:hint="eastAsia" w:ascii="宋体" w:hAnsi="宋体" w:cs="宋体"/>
                <w:color w:val="auto"/>
                <w:szCs w:val="21"/>
                <w:highlight w:val="none"/>
                <w:lang w:eastAsia="zh-CN"/>
              </w:rPr>
              <w:t>；</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宣传方式</w:t>
            </w:r>
            <w:r>
              <w:rPr>
                <w:rFonts w:hint="eastAsia" w:ascii="宋体" w:hAnsi="宋体" w:cs="宋体"/>
                <w:color w:val="auto"/>
                <w:szCs w:val="21"/>
                <w:highlight w:val="none"/>
                <w:lang w:eastAsia="zh-CN"/>
              </w:rPr>
              <w:t>；</w:t>
            </w:r>
          </w:p>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满足以上要求得</w:t>
            </w:r>
            <w:r>
              <w:rPr>
                <w:rFonts w:hint="eastAsia" w:ascii="宋体" w:hAnsi="宋体" w:cs="宋体"/>
                <w:color w:val="auto"/>
                <w:sz w:val="21"/>
                <w:szCs w:val="21"/>
                <w:highlight w:val="none"/>
                <w:lang w:val="en-US" w:eastAsia="zh-CN"/>
              </w:rPr>
              <w:t>2分，</w:t>
            </w:r>
            <w:r>
              <w:rPr>
                <w:rFonts w:hint="eastAsia" w:ascii="宋体" w:hAnsi="宋体" w:eastAsia="宋体" w:cs="宋体"/>
                <w:color w:val="auto"/>
                <w:sz w:val="21"/>
                <w:szCs w:val="21"/>
                <w:highlight w:val="none"/>
              </w:rPr>
              <w:t>在此基础上：</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为优（</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宣传策划</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内容具体、内容针对性强、内容科学合理、内容可操作性强）的加</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为良（</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宣传策划</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内容较具体、内容针对性较强、内容较科学合理、内容可操作性较强）加</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为中(</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宣传策划</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内容具体性一般、内容针对性一般、内容科学合理性一般、内容可操作性一般)加</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宣传策划</w:t>
            </w:r>
            <w:r>
              <w:rPr>
                <w:rFonts w:hint="eastAsia" w:ascii="宋体" w:hAnsi="宋体" w:cs="宋体"/>
                <w:color w:val="auto"/>
                <w:kern w:val="0"/>
                <w:szCs w:val="21"/>
                <w:highlight w:val="none"/>
                <w:lang w:eastAsia="zh-CN"/>
              </w:rPr>
              <w:t>方案内容</w:t>
            </w:r>
            <w:r>
              <w:rPr>
                <w:rFonts w:hint="eastAsia" w:ascii="宋体" w:hAnsi="宋体" w:eastAsia="宋体" w:cs="宋体"/>
                <w:color w:val="auto"/>
                <w:sz w:val="21"/>
                <w:szCs w:val="21"/>
                <w:highlight w:val="none"/>
              </w:rPr>
              <w:t>不具体、无针对性、内容不合理、可操作性差）的不加分；</w:t>
            </w:r>
          </w:p>
          <w:p>
            <w:pP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为差专家须书面说明理由，并记录在档。未提供</w:t>
            </w:r>
            <w:r>
              <w:rPr>
                <w:rFonts w:hint="eastAsia" w:ascii="宋体" w:hAnsi="宋体" w:cs="宋体"/>
                <w:color w:val="auto"/>
                <w:kern w:val="0"/>
                <w:szCs w:val="21"/>
                <w:highlight w:val="none"/>
                <w:lang w:val="en-US" w:eastAsia="zh-CN"/>
              </w:rPr>
              <w:t>赛事</w:t>
            </w:r>
            <w:r>
              <w:rPr>
                <w:rFonts w:ascii="宋体" w:hAnsi="宋体" w:cs="宋体"/>
                <w:color w:val="auto"/>
                <w:kern w:val="0"/>
                <w:szCs w:val="21"/>
                <w:highlight w:val="none"/>
              </w:rPr>
              <w:t>宣传策划</w:t>
            </w:r>
            <w:r>
              <w:rPr>
                <w:rFonts w:hint="eastAsia" w:ascii="宋体" w:hAnsi="宋体" w:cs="宋体"/>
                <w:color w:val="auto"/>
                <w:kern w:val="0"/>
                <w:szCs w:val="21"/>
                <w:highlight w:val="none"/>
                <w:lang w:eastAsia="zh-CN"/>
              </w:rPr>
              <w:t>方案</w:t>
            </w:r>
            <w:r>
              <w:rPr>
                <w:rFonts w:hint="eastAsia" w:ascii="宋体" w:hAnsi="宋体" w:eastAsia="宋体" w:cs="宋体"/>
                <w:color w:val="auto"/>
                <w:sz w:val="21"/>
                <w:szCs w:val="21"/>
                <w:highlight w:val="none"/>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6</w:t>
            </w:r>
          </w:p>
        </w:tc>
        <w:tc>
          <w:tcPr>
            <w:tcW w:w="1662" w:type="dxa"/>
            <w:vAlign w:val="center"/>
          </w:tcPr>
          <w:p>
            <w:pPr>
              <w:jc w:val="center"/>
              <w:rPr>
                <w:rFonts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项目进度、</w:t>
            </w:r>
            <w:r>
              <w:rPr>
                <w:rFonts w:hint="eastAsia" w:ascii="宋体" w:hAnsi="宋体"/>
                <w:color w:val="auto"/>
                <w:szCs w:val="21"/>
                <w:highlight w:val="none"/>
              </w:rPr>
              <w:t>质量保障措施及方案</w:t>
            </w:r>
          </w:p>
        </w:tc>
        <w:tc>
          <w:tcPr>
            <w:tcW w:w="679" w:type="dxa"/>
            <w:vAlign w:val="center"/>
          </w:tcPr>
          <w:p>
            <w:pPr>
              <w:jc w:val="center"/>
              <w:rPr>
                <w:rFonts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6</w:t>
            </w:r>
          </w:p>
        </w:tc>
        <w:tc>
          <w:tcPr>
            <w:tcW w:w="5413" w:type="dxa"/>
            <w:vAlign w:val="top"/>
          </w:tcPr>
          <w:p>
            <w:pPr>
              <w:jc w:val="lef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（一）评审内容：</w:t>
            </w:r>
          </w:p>
          <w:p>
            <w:pPr>
              <w:spacing w:line="240" w:lineRule="auto"/>
              <w:jc w:val="left"/>
              <w:rPr>
                <w:rFonts w:hint="eastAsia" w:ascii="宋体" w:hAnsi="宋体" w:cs="宋体"/>
                <w:color w:val="auto"/>
                <w:kern w:val="2"/>
                <w:sz w:val="21"/>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kern w:val="2"/>
                <w:sz w:val="21"/>
                <w:szCs w:val="21"/>
                <w:highlight w:val="none"/>
              </w:rPr>
              <w:t>给出分阶段项目时间安排、工作进度与阶段性成果。</w:t>
            </w:r>
          </w:p>
          <w:p>
            <w:pPr>
              <w:spacing w:line="240" w:lineRule="auto"/>
              <w:jc w:val="left"/>
              <w:rPr>
                <w:rFonts w:hint="eastAsia" w:ascii="宋体" w:hAnsi="宋体" w:cs="宋体"/>
                <w:color w:val="auto"/>
                <w:kern w:val="2"/>
                <w:sz w:val="21"/>
                <w:szCs w:val="21"/>
                <w:highlight w:val="none"/>
                <w:u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kern w:val="2"/>
                <w:sz w:val="21"/>
                <w:szCs w:val="21"/>
                <w:highlight w:val="none"/>
              </w:rPr>
              <w:t>详细阐述项目质量管理制度与措施。</w:t>
            </w:r>
          </w:p>
          <w:p>
            <w:pPr>
              <w:spacing w:line="240" w:lineRule="auto"/>
              <w:jc w:val="left"/>
              <w:rPr>
                <w:rFonts w:hint="eastAsia" w:ascii="宋体" w:hAnsi="宋体" w:cs="宋体"/>
                <w:color w:val="auto"/>
                <w:kern w:val="2"/>
                <w:sz w:val="21"/>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kern w:val="2"/>
                <w:sz w:val="21"/>
                <w:szCs w:val="21"/>
                <w:highlight w:val="none"/>
              </w:rPr>
              <w:t>详细阐述项目资料、交付成果。</w:t>
            </w:r>
          </w:p>
          <w:p>
            <w:pPr>
              <w:jc w:val="lef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（二）评审依据：</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满足以上</w:t>
            </w:r>
            <w:r>
              <w:rPr>
                <w:rFonts w:hint="eastAsia" w:ascii="宋体" w:hAnsi="宋体" w:cs="宋体"/>
                <w:color w:val="auto"/>
                <w:sz w:val="21"/>
                <w:szCs w:val="21"/>
                <w:highlight w:val="none"/>
                <w:lang w:eastAsia="zh-CN"/>
              </w:rPr>
              <w:t>三</w:t>
            </w:r>
            <w:r>
              <w:rPr>
                <w:rFonts w:hint="eastAsia" w:ascii="宋体" w:hAnsi="宋体" w:eastAsia="宋体" w:cs="宋体"/>
                <w:color w:val="auto"/>
                <w:sz w:val="21"/>
                <w:szCs w:val="21"/>
                <w:highlight w:val="none"/>
                <w:lang w:eastAsia="zh-CN"/>
              </w:rPr>
              <w:t>项要求得</w:t>
            </w:r>
            <w:r>
              <w:rPr>
                <w:rFonts w:hint="eastAsia" w:ascii="宋体" w:hAnsi="宋体" w:eastAsia="宋体" w:cs="宋体"/>
                <w:color w:val="auto"/>
                <w:sz w:val="21"/>
                <w:szCs w:val="21"/>
                <w:highlight w:val="none"/>
                <w:lang w:val="en-US" w:eastAsia="zh-CN"/>
              </w:rPr>
              <w:t>2分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其他情况不得分。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在此基础上：</w:t>
            </w:r>
          </w:p>
          <w:p>
            <w:p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评</w:t>
            </w:r>
            <w:r>
              <w:rPr>
                <w:rFonts w:hint="eastAsia" w:ascii="宋体" w:hAnsi="宋体" w:eastAsia="宋体" w:cs="宋体"/>
                <w:color w:val="auto"/>
                <w:kern w:val="0"/>
                <w:sz w:val="21"/>
                <w:szCs w:val="21"/>
                <w:highlight w:val="none"/>
                <w:lang w:eastAsia="zh-CN" w:bidi="ar"/>
              </w:rPr>
              <w:t>分</w:t>
            </w:r>
            <w:r>
              <w:rPr>
                <w:rFonts w:hint="eastAsia" w:ascii="宋体" w:hAnsi="宋体" w:eastAsia="宋体" w:cs="宋体"/>
                <w:color w:val="auto"/>
                <w:kern w:val="0"/>
                <w:sz w:val="21"/>
                <w:szCs w:val="21"/>
                <w:highlight w:val="none"/>
                <w:lang w:bidi="ar"/>
              </w:rPr>
              <w:t>为优（项目进度安排科学合理，质量保障措施及方案完善、可行，项目团队能力优秀、分工明确合理，质量、风险、设备及疫情防控保障有力，安全管理，沟通、培训协调措施完善）的加</w:t>
            </w:r>
            <w:r>
              <w:rPr>
                <w:rFonts w:hint="eastAsia" w:ascii="宋体" w:hAnsi="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val="en-US" w:eastAsia="zh-CN" w:bidi="ar"/>
              </w:rPr>
              <w:t>分；</w:t>
            </w:r>
          </w:p>
          <w:p>
            <w:p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评</w:t>
            </w:r>
            <w:r>
              <w:rPr>
                <w:rFonts w:hint="eastAsia" w:ascii="宋体" w:hAnsi="宋体" w:eastAsia="宋体" w:cs="宋体"/>
                <w:color w:val="auto"/>
                <w:kern w:val="0"/>
                <w:sz w:val="21"/>
                <w:szCs w:val="21"/>
                <w:highlight w:val="none"/>
                <w:lang w:eastAsia="zh-CN" w:bidi="ar"/>
              </w:rPr>
              <w:t>分</w:t>
            </w:r>
            <w:r>
              <w:rPr>
                <w:rFonts w:hint="eastAsia" w:ascii="宋体" w:hAnsi="宋体" w:eastAsia="宋体" w:cs="宋体"/>
                <w:color w:val="auto"/>
                <w:kern w:val="0"/>
                <w:sz w:val="21"/>
                <w:szCs w:val="21"/>
                <w:highlight w:val="none"/>
                <w:lang w:bidi="ar"/>
              </w:rPr>
              <w:t>为良（项目进度安排较合理，质量保障措施及方案较为可行，项目团队能力良好、分工比较合理，质量、风险、设备及疫情防控保障措施较完善，安全管理，沟通、培训协调措施较完善）加</w:t>
            </w:r>
            <w:r>
              <w:rPr>
                <w:rFonts w:hint="eastAsia" w:ascii="宋体" w:hAnsi="宋体" w:eastAsia="宋体" w:cs="宋体"/>
                <w:color w:val="auto"/>
                <w:kern w:val="0"/>
                <w:sz w:val="21"/>
                <w:szCs w:val="21"/>
                <w:highlight w:val="none"/>
                <w:lang w:val="en-US" w:eastAsia="zh-CN" w:bidi="ar"/>
              </w:rPr>
              <w:t>3分；</w:t>
            </w:r>
          </w:p>
          <w:p>
            <w:p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评</w:t>
            </w:r>
            <w:r>
              <w:rPr>
                <w:rFonts w:hint="eastAsia" w:ascii="宋体" w:hAnsi="宋体" w:eastAsia="宋体" w:cs="宋体"/>
                <w:color w:val="auto"/>
                <w:kern w:val="0"/>
                <w:sz w:val="21"/>
                <w:szCs w:val="21"/>
                <w:highlight w:val="none"/>
                <w:lang w:eastAsia="zh-CN" w:bidi="ar"/>
              </w:rPr>
              <w:t>分</w:t>
            </w:r>
            <w:r>
              <w:rPr>
                <w:rFonts w:hint="eastAsia" w:ascii="宋体" w:hAnsi="宋体" w:eastAsia="宋体" w:cs="宋体"/>
                <w:color w:val="auto"/>
                <w:kern w:val="0"/>
                <w:sz w:val="21"/>
                <w:szCs w:val="21"/>
                <w:highlight w:val="none"/>
                <w:lang w:bidi="ar"/>
              </w:rPr>
              <w:t>为中(项目进度安排一般，质量保障措施及方案一般，项目团队能力、分工一般，人员、质量、风险、疫情防控等保障措施一般，安全管理，沟通、培训协调措施一般)加</w:t>
            </w:r>
            <w:r>
              <w:rPr>
                <w:rFonts w:hint="eastAsia" w:ascii="宋体" w:hAnsi="宋体" w:eastAsia="宋体" w:cs="宋体"/>
                <w:color w:val="auto"/>
                <w:kern w:val="0"/>
                <w:sz w:val="21"/>
                <w:szCs w:val="21"/>
                <w:highlight w:val="none"/>
                <w:lang w:val="en-US" w:eastAsia="zh-CN" w:bidi="ar"/>
              </w:rPr>
              <w:t>1分；</w:t>
            </w:r>
          </w:p>
          <w:p>
            <w:p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评</w:t>
            </w:r>
            <w:r>
              <w:rPr>
                <w:rFonts w:hint="eastAsia" w:ascii="宋体" w:hAnsi="宋体" w:eastAsia="宋体" w:cs="宋体"/>
                <w:color w:val="auto"/>
                <w:kern w:val="0"/>
                <w:sz w:val="21"/>
                <w:szCs w:val="21"/>
                <w:highlight w:val="none"/>
                <w:lang w:eastAsia="zh-CN" w:bidi="ar"/>
              </w:rPr>
              <w:t>分</w:t>
            </w:r>
            <w:r>
              <w:rPr>
                <w:rFonts w:hint="eastAsia" w:ascii="宋体" w:hAnsi="宋体" w:eastAsia="宋体" w:cs="宋体"/>
                <w:color w:val="auto"/>
                <w:kern w:val="0"/>
                <w:sz w:val="21"/>
                <w:szCs w:val="21"/>
                <w:highlight w:val="none"/>
                <w:lang w:bidi="ar"/>
              </w:rPr>
              <w:t>为差（项目进度安排杂乱无章，质量保障措施及方案内容差，项目团队能力、分工差，无质量、风险和安全管理，沟通培训协调措施差）的不加分；</w:t>
            </w:r>
          </w:p>
          <w:p>
            <w:pP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评</w:t>
            </w:r>
            <w:r>
              <w:rPr>
                <w:rFonts w:hint="eastAsia" w:ascii="宋体" w:hAnsi="宋体" w:eastAsia="宋体" w:cs="宋体"/>
                <w:color w:val="auto"/>
                <w:kern w:val="0"/>
                <w:sz w:val="21"/>
                <w:szCs w:val="21"/>
                <w:highlight w:val="none"/>
                <w:lang w:eastAsia="zh-CN" w:bidi="ar"/>
              </w:rPr>
              <w:t>分</w:t>
            </w:r>
            <w:r>
              <w:rPr>
                <w:rFonts w:hint="eastAsia" w:ascii="宋体" w:hAnsi="宋体" w:eastAsia="宋体" w:cs="宋体"/>
                <w:color w:val="auto"/>
                <w:kern w:val="0"/>
                <w:sz w:val="21"/>
                <w:szCs w:val="21"/>
                <w:highlight w:val="none"/>
                <w:lang w:bidi="ar"/>
              </w:rPr>
              <w:t>为差专家须书面说明理由，并记录在档；未提供质量保障措施及方案的不得分。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pStyle w:val="4"/>
              <w:rPr>
                <w:color w:val="auto"/>
                <w:highlight w:val="none"/>
              </w:rPr>
            </w:pPr>
          </w:p>
        </w:tc>
        <w:tc>
          <w:tcPr>
            <w:tcW w:w="749" w:type="dxa"/>
            <w:vAlign w:val="center"/>
          </w:tcPr>
          <w:p>
            <w:pPr>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7</w:t>
            </w:r>
          </w:p>
        </w:tc>
        <w:tc>
          <w:tcPr>
            <w:tcW w:w="1662" w:type="dxa"/>
            <w:vAlign w:val="center"/>
          </w:tcPr>
          <w:p>
            <w:pPr>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违约承诺</w:t>
            </w:r>
          </w:p>
        </w:tc>
        <w:tc>
          <w:tcPr>
            <w:tcW w:w="679" w:type="dxa"/>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3</w:t>
            </w:r>
          </w:p>
        </w:tc>
        <w:tc>
          <w:tcPr>
            <w:tcW w:w="5413" w:type="dxa"/>
            <w:vAlign w:val="top"/>
          </w:tcPr>
          <w:p>
            <w:pP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投标人作出对本项目的违约承诺，并提供内容完善、具体的违约承诺函（格式自拟），得3分，否则不得分。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color w:val="auto"/>
                <w:szCs w:val="21"/>
                <w:highlight w:val="none"/>
              </w:rPr>
            </w:pPr>
            <w:r>
              <w:rPr>
                <w:rFonts w:ascii="宋体" w:hAnsi="宋体"/>
                <w:b/>
                <w:color w:val="auto"/>
                <w:szCs w:val="21"/>
                <w:highlight w:val="none"/>
              </w:rPr>
              <w:t>3</w:t>
            </w:r>
          </w:p>
        </w:tc>
        <w:tc>
          <w:tcPr>
            <w:tcW w:w="3090" w:type="dxa"/>
            <w:gridSpan w:val="3"/>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商务需求</w:t>
            </w:r>
          </w:p>
        </w:tc>
        <w:tc>
          <w:tcPr>
            <w:tcW w:w="5413" w:type="dxa"/>
            <w:vAlign w:val="center"/>
          </w:tcPr>
          <w:p>
            <w:pPr>
              <w:spacing w:line="440" w:lineRule="exact"/>
              <w:jc w:val="center"/>
              <w:rPr>
                <w:rFonts w:hint="default"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restart"/>
            <w:vAlign w:val="center"/>
          </w:tcPr>
          <w:p>
            <w:pPr>
              <w:spacing w:line="440" w:lineRule="exact"/>
              <w:jc w:val="center"/>
              <w:outlineLvl w:val="0"/>
              <w:rPr>
                <w:rFonts w:ascii="宋体" w:hAnsi="宋体"/>
                <w:color w:val="auto"/>
                <w:szCs w:val="21"/>
                <w:highlight w:val="none"/>
              </w:rPr>
            </w:pPr>
          </w:p>
        </w:tc>
        <w:tc>
          <w:tcPr>
            <w:tcW w:w="749"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1662"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评分因素</w:t>
            </w:r>
          </w:p>
        </w:tc>
        <w:tc>
          <w:tcPr>
            <w:tcW w:w="679"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权重</w:t>
            </w:r>
          </w:p>
        </w:tc>
        <w:tc>
          <w:tcPr>
            <w:tcW w:w="5413"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w:t>
            </w:r>
          </w:p>
        </w:tc>
        <w:tc>
          <w:tcPr>
            <w:tcW w:w="1662" w:type="dxa"/>
            <w:vAlign w:val="center"/>
          </w:tcPr>
          <w:p>
            <w:pPr>
              <w:spacing w:line="44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服务便利性</w:t>
            </w:r>
          </w:p>
        </w:tc>
        <w:tc>
          <w:tcPr>
            <w:tcW w:w="679" w:type="dxa"/>
            <w:vAlign w:val="center"/>
          </w:tcPr>
          <w:p>
            <w:pPr>
              <w:spacing w:line="44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2</w:t>
            </w:r>
          </w:p>
        </w:tc>
        <w:tc>
          <w:tcPr>
            <w:tcW w:w="5413" w:type="dxa"/>
            <w:vAlign w:val="center"/>
          </w:tcPr>
          <w:p>
            <w:pPr>
              <w:rPr>
                <w:rFonts w:ascii="宋体" w:hAnsi="宋体"/>
                <w:color w:val="auto"/>
                <w:szCs w:val="21"/>
                <w:highlight w:val="none"/>
              </w:rPr>
            </w:pPr>
            <w:r>
              <w:rPr>
                <w:rFonts w:hint="eastAsia" w:ascii="宋体" w:hAnsi="宋体"/>
                <w:color w:val="auto"/>
                <w:szCs w:val="21"/>
                <w:highlight w:val="none"/>
                <w:lang w:eastAsia="zh-CN"/>
              </w:rPr>
              <w:t>考察内容：</w:t>
            </w:r>
            <w:r>
              <w:rPr>
                <w:rFonts w:hint="eastAsia" w:ascii="宋体" w:hAnsi="宋体"/>
                <w:color w:val="auto"/>
                <w:szCs w:val="21"/>
                <w:highlight w:val="none"/>
              </w:rPr>
              <w:t>在深圳市有稳定的服务网点（场地）得</w:t>
            </w:r>
            <w:r>
              <w:rPr>
                <w:rFonts w:hint="eastAsia" w:ascii="宋体" w:hAnsi="宋体"/>
                <w:color w:val="auto"/>
                <w:szCs w:val="21"/>
                <w:highlight w:val="none"/>
                <w:lang w:val="en-US" w:eastAsia="zh-CN"/>
              </w:rPr>
              <w:t>2</w:t>
            </w:r>
            <w:r>
              <w:rPr>
                <w:rFonts w:hint="eastAsia" w:ascii="宋体" w:hAnsi="宋体"/>
                <w:color w:val="auto"/>
                <w:szCs w:val="21"/>
                <w:highlight w:val="none"/>
              </w:rPr>
              <w:t>分，在深圳市内无服务网点（场地）但承诺（格式自拟）中标后设立本地经营（服务）网点，得</w:t>
            </w:r>
            <w:r>
              <w:rPr>
                <w:rFonts w:hint="eastAsia" w:ascii="宋体" w:hAnsi="宋体"/>
                <w:color w:val="auto"/>
                <w:szCs w:val="21"/>
                <w:highlight w:val="none"/>
                <w:lang w:val="en-US" w:eastAsia="zh-CN"/>
              </w:rPr>
              <w:t>2</w:t>
            </w:r>
            <w:r>
              <w:rPr>
                <w:rFonts w:hint="eastAsia" w:ascii="宋体" w:hAnsi="宋体"/>
                <w:color w:val="auto"/>
                <w:szCs w:val="21"/>
                <w:highlight w:val="none"/>
              </w:rPr>
              <w:t>分；其他不得分。</w:t>
            </w:r>
          </w:p>
          <w:p>
            <w:pPr>
              <w:spacing w:line="440" w:lineRule="exact"/>
              <w:rPr>
                <w:rFonts w:ascii="宋体" w:hAnsi="宋体" w:cs="宋体"/>
                <w:color w:val="auto"/>
                <w:szCs w:val="21"/>
                <w:highlight w:val="none"/>
              </w:rPr>
            </w:pPr>
            <w:r>
              <w:rPr>
                <w:rFonts w:hint="eastAsia" w:ascii="宋体" w:hAnsi="宋体"/>
                <w:color w:val="auto"/>
                <w:szCs w:val="21"/>
                <w:highlight w:val="none"/>
              </w:rPr>
              <w:t>证明文件：提供营业执照或场地租赁合同（复印件）或承诺函加盖投标人公章，原件备查，未提供或无法判断的不得分</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2</w:t>
            </w:r>
          </w:p>
        </w:tc>
        <w:tc>
          <w:tcPr>
            <w:tcW w:w="1662" w:type="dxa"/>
            <w:vAlign w:val="center"/>
          </w:tcPr>
          <w:p>
            <w:pPr>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近五年同类项目业绩</w:t>
            </w:r>
          </w:p>
        </w:tc>
        <w:tc>
          <w:tcPr>
            <w:tcW w:w="679" w:type="dxa"/>
            <w:vAlign w:val="center"/>
          </w:tcPr>
          <w:p>
            <w:pPr>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15</w:t>
            </w:r>
          </w:p>
        </w:tc>
        <w:tc>
          <w:tcPr>
            <w:tcW w:w="5413" w:type="dxa"/>
            <w:vAlign w:val="center"/>
          </w:tcPr>
          <w:p>
            <w:pPr>
              <w:rPr>
                <w:rFonts w:hint="default" w:eastAsia="宋体"/>
                <w:color w:val="auto"/>
                <w:highlight w:val="none"/>
                <w:lang w:val="en-US" w:eastAsia="zh-CN"/>
              </w:rPr>
            </w:pPr>
            <w:r>
              <w:rPr>
                <w:rFonts w:hint="eastAsia"/>
                <w:color w:val="auto"/>
                <w:highlight w:val="none"/>
                <w:lang w:val="en-US" w:eastAsia="zh-CN"/>
              </w:rPr>
              <w:t>考察内容：</w:t>
            </w:r>
            <w:r>
              <w:rPr>
                <w:rFonts w:hint="eastAsia" w:ascii="宋体" w:hAnsi="宋体" w:cs="宋体"/>
                <w:color w:val="auto"/>
                <w:szCs w:val="21"/>
                <w:highlight w:val="none"/>
              </w:rPr>
              <w:t>201</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年1月至招标公告发布之日止（以合同签订时间为准）</w:t>
            </w:r>
            <w:r>
              <w:rPr>
                <w:rFonts w:hint="eastAsia"/>
                <w:color w:val="auto"/>
                <w:szCs w:val="21"/>
                <w:highlight w:val="none"/>
              </w:rPr>
              <w:t>组织过的比赛活动情况：有</w:t>
            </w:r>
            <w:r>
              <w:rPr>
                <w:rFonts w:hint="eastAsia"/>
                <w:color w:val="auto"/>
                <w:szCs w:val="21"/>
                <w:highlight w:val="none"/>
                <w:lang w:val="en-US" w:eastAsia="zh-CN"/>
              </w:rPr>
              <w:t>省</w:t>
            </w:r>
            <w:r>
              <w:rPr>
                <w:rFonts w:hint="eastAsia"/>
                <w:color w:val="auto"/>
                <w:szCs w:val="21"/>
                <w:highlight w:val="none"/>
              </w:rPr>
              <w:t>级</w:t>
            </w:r>
            <w:r>
              <w:rPr>
                <w:rFonts w:hint="eastAsia"/>
                <w:color w:val="auto"/>
                <w:szCs w:val="21"/>
                <w:highlight w:val="none"/>
                <w:lang w:eastAsia="zh-CN"/>
              </w:rPr>
              <w:t>（不含副省级）及以上</w:t>
            </w:r>
            <w:r>
              <w:rPr>
                <w:rFonts w:hint="eastAsia"/>
                <w:color w:val="auto"/>
                <w:szCs w:val="21"/>
                <w:highlight w:val="none"/>
              </w:rPr>
              <w:t>比赛活动经验每提供一个得5分，有</w:t>
            </w:r>
            <w:r>
              <w:rPr>
                <w:rFonts w:hint="eastAsia"/>
                <w:color w:val="auto"/>
                <w:szCs w:val="21"/>
                <w:highlight w:val="none"/>
                <w:lang w:val="en-US" w:eastAsia="zh-CN"/>
              </w:rPr>
              <w:t>市</w:t>
            </w:r>
            <w:r>
              <w:rPr>
                <w:rFonts w:hint="eastAsia"/>
                <w:color w:val="auto"/>
                <w:szCs w:val="21"/>
                <w:highlight w:val="none"/>
              </w:rPr>
              <w:t>级比赛活动经验每提供一个得3分，有</w:t>
            </w:r>
            <w:r>
              <w:rPr>
                <w:rFonts w:hint="eastAsia"/>
                <w:color w:val="auto"/>
                <w:szCs w:val="21"/>
                <w:highlight w:val="none"/>
                <w:lang w:val="en-US" w:eastAsia="zh-CN"/>
              </w:rPr>
              <w:t>区</w:t>
            </w:r>
            <w:r>
              <w:rPr>
                <w:rFonts w:hint="eastAsia"/>
                <w:color w:val="auto"/>
                <w:szCs w:val="21"/>
                <w:highlight w:val="none"/>
              </w:rPr>
              <w:t>级比赛活动经验每提供一个得1分</w:t>
            </w:r>
            <w:r>
              <w:rPr>
                <w:rFonts w:hint="eastAsia" w:ascii="宋体" w:hAnsi="宋体" w:cs="宋体"/>
                <w:color w:val="auto"/>
                <w:szCs w:val="21"/>
                <w:highlight w:val="none"/>
              </w:rPr>
              <w:t>，最高得</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分。</w:t>
            </w:r>
          </w:p>
          <w:p>
            <w:pPr>
              <w:rPr>
                <w:rFonts w:hint="eastAsia" w:ascii="宋体" w:hAnsi="宋体"/>
                <w:color w:val="auto"/>
                <w:szCs w:val="21"/>
                <w:highlight w:val="none"/>
              </w:rPr>
            </w:pPr>
            <w:r>
              <w:rPr>
                <w:rFonts w:hint="eastAsia" w:ascii="宋体" w:hAnsi="宋体" w:cs="宋体"/>
                <w:color w:val="auto"/>
                <w:szCs w:val="21"/>
                <w:highlight w:val="none"/>
              </w:rPr>
              <w:t>证明文件：</w:t>
            </w:r>
            <w:r>
              <w:rPr>
                <w:rFonts w:hint="eastAsia"/>
                <w:color w:val="auto"/>
                <w:szCs w:val="21"/>
                <w:highlight w:val="none"/>
              </w:rPr>
              <w:t>需提供项目合同复印件加盖投标人公章</w:t>
            </w:r>
            <w:r>
              <w:rPr>
                <w:rFonts w:hint="eastAsia"/>
                <w:color w:val="auto"/>
                <w:szCs w:val="21"/>
                <w:highlight w:val="none"/>
                <w:lang w:eastAsia="zh-CN"/>
              </w:rPr>
              <w:t>，</w:t>
            </w:r>
            <w:r>
              <w:rPr>
                <w:rFonts w:hint="eastAsia"/>
                <w:color w:val="auto"/>
                <w:szCs w:val="21"/>
                <w:highlight w:val="none"/>
                <w:lang w:val="en-US" w:eastAsia="zh-CN"/>
              </w:rPr>
              <w:t>原件备查</w:t>
            </w:r>
            <w:r>
              <w:rPr>
                <w:rFonts w:hint="eastAsia"/>
                <w:color w:val="auto"/>
                <w:szCs w:val="21"/>
                <w:highlight w:val="none"/>
              </w:rPr>
              <w:t>。</w:t>
            </w:r>
            <w:r>
              <w:rPr>
                <w:rFonts w:hint="eastAsia"/>
                <w:color w:val="auto"/>
                <w:highlight w:val="none"/>
              </w:rPr>
              <w:t>无证明资料或评分时出现无法凭所提供资料判断是否得分的情况，一律不得分。</w:t>
            </w:r>
          </w:p>
          <w:p>
            <w:pPr>
              <w:spacing w:line="440" w:lineRule="exact"/>
              <w:rPr>
                <w:rFonts w:ascii="宋体" w:hAnsi="宋体"/>
                <w:color w:val="auto"/>
                <w:szCs w:val="21"/>
                <w:highlight w:val="none"/>
              </w:rPr>
            </w:pPr>
            <w:r>
              <w:rPr>
                <w:rFonts w:hint="eastAsia" w:ascii="宋体" w:hAnsi="宋体" w:cs="宋体"/>
                <w:color w:val="auto"/>
                <w:szCs w:val="21"/>
                <w:highlight w:val="none"/>
              </w:rPr>
              <w:t>注：同一项目续签不重复计分。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w:t>
            </w:r>
          </w:p>
        </w:tc>
        <w:tc>
          <w:tcPr>
            <w:tcW w:w="1662" w:type="dxa"/>
            <w:vAlign w:val="center"/>
          </w:tcPr>
          <w:p>
            <w:pPr>
              <w:spacing w:line="44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获奖情况</w:t>
            </w:r>
          </w:p>
        </w:tc>
        <w:tc>
          <w:tcPr>
            <w:tcW w:w="679" w:type="dxa"/>
            <w:vAlign w:val="center"/>
          </w:tcPr>
          <w:p>
            <w:pPr>
              <w:spacing w:line="44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w:t>
            </w:r>
          </w:p>
        </w:tc>
        <w:tc>
          <w:tcPr>
            <w:tcW w:w="5413" w:type="dxa"/>
            <w:vAlign w:val="center"/>
          </w:tcPr>
          <w:p>
            <w:pPr>
              <w:rPr>
                <w:rFonts w:hint="eastAsia"/>
                <w:color w:val="auto"/>
                <w:highlight w:val="none"/>
                <w:lang w:val="en-US" w:eastAsia="zh-CN"/>
              </w:rPr>
            </w:pPr>
            <w:r>
              <w:rPr>
                <w:rFonts w:hint="eastAsia"/>
                <w:color w:val="auto"/>
                <w:highlight w:val="none"/>
                <w:lang w:val="en-US" w:eastAsia="zh-CN"/>
              </w:rPr>
              <w:t>考察内容：获得省级</w:t>
            </w:r>
            <w:r>
              <w:rPr>
                <w:rFonts w:hint="eastAsia"/>
                <w:color w:val="auto"/>
                <w:szCs w:val="21"/>
                <w:highlight w:val="none"/>
                <w:lang w:eastAsia="zh-CN"/>
              </w:rPr>
              <w:t>（不含副省级）</w:t>
            </w:r>
            <w:r>
              <w:rPr>
                <w:rFonts w:hint="eastAsia"/>
                <w:color w:val="auto"/>
                <w:highlight w:val="none"/>
                <w:lang w:val="en-US" w:eastAsia="zh-CN"/>
              </w:rPr>
              <w:t>及以上政府部门举办的相关赛事类荣誉证书得4分，获得市级政府部门举办的相关赛事类荣誉证书得2分，其他不得分。</w:t>
            </w:r>
          </w:p>
          <w:p>
            <w:pPr>
              <w:rPr>
                <w:rFonts w:hint="default"/>
                <w:color w:val="auto"/>
                <w:highlight w:val="none"/>
                <w:lang w:val="en-US" w:eastAsia="zh-CN"/>
              </w:rPr>
            </w:pPr>
            <w:r>
              <w:rPr>
                <w:rFonts w:hint="eastAsia"/>
                <w:color w:val="auto"/>
                <w:highlight w:val="none"/>
                <w:lang w:val="en-US" w:eastAsia="zh-CN"/>
              </w:rPr>
              <w:t>证明文件：需提供有关证书复印件加盖投标人公章，原件备查。无证明材料或评分时出现无法</w:t>
            </w:r>
            <w:r>
              <w:rPr>
                <w:rFonts w:hint="eastAsia"/>
                <w:color w:val="auto"/>
                <w:highlight w:val="none"/>
              </w:rPr>
              <w:t>凭所提供资料判断是否得分的情况，一律不得分。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3</w:t>
            </w:r>
          </w:p>
        </w:tc>
        <w:tc>
          <w:tcPr>
            <w:tcW w:w="1662" w:type="dxa"/>
            <w:vAlign w:val="center"/>
          </w:tcPr>
          <w:p>
            <w:pPr>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拟安排项目负责人情况（仅限一人）</w:t>
            </w:r>
          </w:p>
        </w:tc>
        <w:tc>
          <w:tcPr>
            <w:tcW w:w="679" w:type="dxa"/>
            <w:vAlign w:val="center"/>
          </w:tcPr>
          <w:p>
            <w:pPr>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12</w:t>
            </w:r>
          </w:p>
        </w:tc>
        <w:tc>
          <w:tcPr>
            <w:tcW w:w="5413" w:type="dxa"/>
            <w:vAlign w:val="center"/>
          </w:tcPr>
          <w:p>
            <w:pPr>
              <w:autoSpaceDE w:val="0"/>
              <w:autoSpaceDN w:val="0"/>
              <w:adjustRightInd w:val="0"/>
              <w:jc w:val="lef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考察内容：</w:t>
            </w:r>
          </w:p>
          <w:p>
            <w:pPr>
              <w:autoSpaceDE w:val="0"/>
              <w:autoSpaceDN w:val="0"/>
              <w:adjustRightInd w:val="0"/>
              <w:jc w:val="left"/>
              <w:rPr>
                <w:rFonts w:hint="default" w:ascii="宋体" w:hAnsi="宋体"/>
                <w:snapToGrid w:val="0"/>
                <w:color w:val="auto"/>
                <w:kern w:val="0"/>
                <w:szCs w:val="21"/>
                <w:highlight w:val="none"/>
                <w:lang w:val="en-US"/>
              </w:rPr>
            </w:pPr>
            <w:r>
              <w:rPr>
                <w:rFonts w:hint="eastAsia" w:ascii="宋体" w:hAnsi="宋体"/>
                <w:snapToGrid w:val="0"/>
                <w:color w:val="auto"/>
                <w:kern w:val="0"/>
                <w:szCs w:val="21"/>
                <w:highlight w:val="none"/>
                <w:lang w:val="en-US" w:eastAsia="zh-CN"/>
              </w:rPr>
              <w:t>1.项目负责人</w:t>
            </w:r>
            <w:r>
              <w:rPr>
                <w:rFonts w:hint="eastAsia" w:ascii="宋体" w:hAnsi="宋体"/>
                <w:snapToGrid w:val="0"/>
                <w:color w:val="auto"/>
                <w:kern w:val="0"/>
                <w:szCs w:val="21"/>
                <w:highlight w:val="none"/>
              </w:rPr>
              <w:t>有策划、编导、新闻</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广告设计</w:t>
            </w:r>
            <w:r>
              <w:rPr>
                <w:rFonts w:hint="eastAsia" w:ascii="宋体" w:hAnsi="宋体"/>
                <w:snapToGrid w:val="0"/>
                <w:color w:val="auto"/>
                <w:kern w:val="0"/>
                <w:szCs w:val="21"/>
                <w:highlight w:val="none"/>
              </w:rPr>
              <w:t>等相关专业</w:t>
            </w:r>
            <w:r>
              <w:rPr>
                <w:rFonts w:hint="eastAsia" w:ascii="宋体" w:hAnsi="宋体"/>
                <w:snapToGrid w:val="0"/>
                <w:color w:val="auto"/>
                <w:kern w:val="0"/>
                <w:szCs w:val="21"/>
                <w:highlight w:val="none"/>
                <w:lang w:val="en-US" w:eastAsia="zh-CN"/>
              </w:rPr>
              <w:t>全日制</w:t>
            </w:r>
            <w:r>
              <w:rPr>
                <w:rFonts w:hint="eastAsia" w:ascii="宋体" w:hAnsi="宋体"/>
                <w:snapToGrid w:val="0"/>
                <w:color w:val="auto"/>
                <w:kern w:val="0"/>
                <w:szCs w:val="21"/>
                <w:highlight w:val="none"/>
              </w:rPr>
              <w:t>本科或以上学历得</w:t>
            </w: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分</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非全日制本科或大专学历得2分</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提供学历证书</w:t>
            </w:r>
            <w:r>
              <w:rPr>
                <w:rFonts w:hint="eastAsia" w:ascii="宋体" w:hAnsi="宋体"/>
                <w:snapToGrid w:val="0"/>
                <w:color w:val="auto"/>
                <w:kern w:val="0"/>
                <w:szCs w:val="21"/>
                <w:highlight w:val="none"/>
                <w:lang w:val="en-US" w:eastAsia="zh-CN"/>
              </w:rPr>
              <w:t>及学历验证证明)</w:t>
            </w:r>
          </w:p>
          <w:p>
            <w:pPr>
              <w:numPr>
                <w:ilvl w:val="-1"/>
                <w:numId w:val="0"/>
              </w:numPr>
              <w:autoSpaceDE w:val="0"/>
              <w:autoSpaceDN w:val="0"/>
              <w:adjustRightInd w:val="0"/>
              <w:spacing w:after="0" w:line="240" w:lineRule="auto"/>
              <w:jc w:val="left"/>
              <w:rPr>
                <w:rFonts w:hint="eastAsia" w:ascii="宋体" w:hAnsi="宋体"/>
                <w:snapToGrid w:val="0"/>
                <w:color w:val="auto"/>
                <w:kern w:val="0"/>
                <w:szCs w:val="21"/>
                <w:highlight w:val="none"/>
                <w:lang w:val="en-US" w:eastAsia="zh-CN"/>
              </w:rPr>
            </w:pPr>
            <w:r>
              <w:rPr>
                <w:rFonts w:hint="eastAsia" w:ascii="宋体" w:hAnsi="宋体"/>
                <w:snapToGrid w:val="0"/>
                <w:color w:val="auto"/>
                <w:kern w:val="0"/>
                <w:szCs w:val="21"/>
                <w:highlight w:val="none"/>
                <w:lang w:val="en-US" w:eastAsia="zh-CN"/>
              </w:rPr>
              <w:t>2.项目负责人有组织策划过国家级相关赛事经验得6分，有组织策划过省级相关赛事经验得3分，有组织策划过市级相关赛事经验得1分其余不得分。（提供人员相关赛事经验证明佐证材料并加盖投标人公章）</w:t>
            </w:r>
          </w:p>
          <w:p>
            <w:pPr>
              <w:autoSpaceDE w:val="0"/>
              <w:autoSpaceDN w:val="0"/>
              <w:adjustRightInd w:val="0"/>
              <w:spacing w:after="0" w:line="240" w:lineRule="auto"/>
              <w:jc w:val="left"/>
              <w:rPr>
                <w:rFonts w:hint="default"/>
                <w:color w:val="auto"/>
                <w:szCs w:val="21"/>
                <w:highlight w:val="none"/>
                <w:lang w:val="en-US"/>
              </w:rPr>
            </w:pPr>
            <w:r>
              <w:rPr>
                <w:rFonts w:hint="eastAsia"/>
                <w:color w:val="auto"/>
                <w:szCs w:val="21"/>
                <w:highlight w:val="none"/>
                <w:lang w:val="en-US" w:eastAsia="zh-CN"/>
              </w:rPr>
              <w:t>3.项目负责人</w:t>
            </w:r>
            <w:r>
              <w:rPr>
                <w:rFonts w:hint="eastAsia"/>
                <w:color w:val="auto"/>
                <w:szCs w:val="21"/>
                <w:highlight w:val="none"/>
              </w:rPr>
              <w:t>持有</w:t>
            </w:r>
            <w:r>
              <w:rPr>
                <w:rFonts w:hint="eastAsia"/>
                <w:color w:val="auto"/>
                <w:szCs w:val="21"/>
                <w:highlight w:val="none"/>
                <w:lang w:val="en-US" w:eastAsia="zh-CN"/>
              </w:rPr>
              <w:t>广告策划类相关职业资格证书</w:t>
            </w:r>
            <w:r>
              <w:rPr>
                <w:rFonts w:hint="eastAsia"/>
                <w:color w:val="auto"/>
                <w:szCs w:val="21"/>
                <w:highlight w:val="none"/>
              </w:rPr>
              <w:t>得2分，</w:t>
            </w:r>
            <w:r>
              <w:rPr>
                <w:rFonts w:hint="eastAsia"/>
                <w:color w:val="auto"/>
                <w:szCs w:val="21"/>
                <w:highlight w:val="none"/>
                <w:lang w:val="en-US" w:eastAsia="zh-CN"/>
              </w:rPr>
              <w:t>其余</w:t>
            </w:r>
            <w:r>
              <w:rPr>
                <w:rFonts w:hint="eastAsia"/>
                <w:color w:val="auto"/>
                <w:szCs w:val="21"/>
                <w:highlight w:val="none"/>
              </w:rPr>
              <w:t>得0分</w:t>
            </w:r>
            <w:r>
              <w:rPr>
                <w:rFonts w:hint="eastAsia"/>
                <w:color w:val="auto"/>
                <w:szCs w:val="21"/>
                <w:highlight w:val="none"/>
                <w:lang w:eastAsia="zh-CN"/>
              </w:rPr>
              <w:t>；（</w:t>
            </w:r>
            <w:r>
              <w:rPr>
                <w:rFonts w:hint="eastAsia"/>
                <w:color w:val="auto"/>
                <w:szCs w:val="21"/>
                <w:highlight w:val="none"/>
                <w:lang w:val="en-US" w:eastAsia="zh-CN"/>
              </w:rPr>
              <w:t>提供相关资格证书复印件加盖投标人公章）</w:t>
            </w:r>
          </w:p>
          <w:p>
            <w:pPr>
              <w:autoSpaceDE w:val="0"/>
              <w:autoSpaceDN w:val="0"/>
              <w:adjustRightInd w:val="0"/>
              <w:spacing w:line="240" w:lineRule="auto"/>
              <w:jc w:val="left"/>
              <w:rPr>
                <w:rFonts w:hint="default" w:ascii="宋体" w:hAnsi="宋体" w:eastAsia="宋体"/>
                <w:color w:val="auto"/>
                <w:szCs w:val="21"/>
                <w:highlight w:val="none"/>
                <w:lang w:val="en-US" w:eastAsia="zh-CN"/>
              </w:rPr>
            </w:pPr>
            <w:r>
              <w:rPr>
                <w:rFonts w:hint="eastAsia" w:ascii="宋体" w:hAnsi="宋体" w:eastAsia="宋体" w:cs="Times New Roman"/>
                <w:color w:val="auto"/>
                <w:szCs w:val="21"/>
                <w:highlight w:val="none"/>
              </w:rPr>
              <w:t>证明</w:t>
            </w:r>
            <w:r>
              <w:rPr>
                <w:rFonts w:hint="eastAsia" w:ascii="宋体" w:hAnsi="宋体" w:eastAsia="宋体" w:cs="Times New Roman"/>
                <w:color w:val="auto"/>
                <w:szCs w:val="21"/>
                <w:highlight w:val="none"/>
                <w:lang w:val="en-US" w:eastAsia="zh-CN"/>
              </w:rPr>
              <w:t>文件</w:t>
            </w:r>
            <w:r>
              <w:rPr>
                <w:rFonts w:hint="eastAsia" w:ascii="宋体" w:hAnsi="宋体" w:eastAsia="宋体" w:cs="Times New Roman"/>
                <w:color w:val="auto"/>
                <w:szCs w:val="21"/>
                <w:highlight w:val="none"/>
              </w:rPr>
              <w:t>：</w:t>
            </w:r>
            <w:r>
              <w:rPr>
                <w:rFonts w:hint="eastAsia" w:ascii="Times New Roman" w:hAnsi="Times New Roman" w:eastAsia="宋体" w:cs="Times New Roman"/>
                <w:color w:val="auto"/>
                <w:szCs w:val="21"/>
                <w:highlight w:val="none"/>
                <w:lang w:val="en-US" w:eastAsia="zh-CN"/>
              </w:rPr>
              <w:t>提供社保部门出具的投标截止日前三个月</w:t>
            </w:r>
            <w:r>
              <w:rPr>
                <w:rFonts w:hint="eastAsia" w:ascii="宋体" w:hAnsi="宋体"/>
                <w:color w:val="auto"/>
                <w:kern w:val="0"/>
                <w:sz w:val="20"/>
                <w:szCs w:val="20"/>
                <w:highlight w:val="none"/>
              </w:rPr>
              <w:t>（新成立不足3个月的供应商须提供自成立以来的社保证明）</w:t>
            </w:r>
            <w:r>
              <w:rPr>
                <w:rFonts w:hint="eastAsia" w:ascii="Times New Roman" w:hAnsi="Times New Roman" w:eastAsia="宋体" w:cs="Times New Roman"/>
                <w:color w:val="auto"/>
                <w:szCs w:val="21"/>
                <w:highlight w:val="none"/>
                <w:lang w:val="en-US" w:eastAsia="zh-CN"/>
              </w:rPr>
              <w:t>在投标人处购买的社保证明复印件加盖投标人公章，原件备查，未提供或无法判断的不得分</w:t>
            </w:r>
            <w:r>
              <w:rPr>
                <w:rFonts w:hint="eastAsia" w:cs="Times New Roman"/>
                <w:color w:val="auto"/>
                <w:szCs w:val="21"/>
                <w:highlight w:val="none"/>
                <w:lang w:val="en-US" w:eastAsia="zh-CN"/>
              </w:rPr>
              <w:t>；</w:t>
            </w:r>
            <w:r>
              <w:rPr>
                <w:rFonts w:hint="eastAsia" w:hAnsi="宋体"/>
                <w:color w:val="auto"/>
                <w:kern w:val="0"/>
                <w:szCs w:val="21"/>
                <w:highlight w:val="none"/>
              </w:rPr>
              <w:t>提供人员</w:t>
            </w:r>
            <w:r>
              <w:rPr>
                <w:rFonts w:hint="eastAsia" w:hAnsi="宋体"/>
                <w:color w:val="auto"/>
                <w:kern w:val="0"/>
                <w:szCs w:val="21"/>
                <w:highlight w:val="none"/>
                <w:lang w:val="en-US" w:eastAsia="zh-CN"/>
              </w:rPr>
              <w:t>证书及获奖情况</w:t>
            </w:r>
            <w:r>
              <w:rPr>
                <w:rFonts w:hint="eastAsia"/>
                <w:color w:val="auto"/>
                <w:szCs w:val="21"/>
                <w:highlight w:val="none"/>
              </w:rPr>
              <w:t>相关证明材料复印件加盖投标人公章，原件备查，</w:t>
            </w:r>
            <w:r>
              <w:rPr>
                <w:rFonts w:hint="eastAsia"/>
                <w:color w:val="auto"/>
                <w:highlight w:val="none"/>
              </w:rPr>
              <w:t>无证明资料或评分时出现无法凭所提供资料判断是否得分的情况，一律不得分。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1662" w:type="dxa"/>
            <w:vAlign w:val="center"/>
          </w:tcPr>
          <w:p>
            <w:pPr>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拟安排项目团队成员（项目负责人除外）情况</w:t>
            </w:r>
          </w:p>
        </w:tc>
        <w:tc>
          <w:tcPr>
            <w:tcW w:w="679" w:type="dxa"/>
            <w:vAlign w:val="center"/>
          </w:tcPr>
          <w:p>
            <w:pPr>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12</w:t>
            </w:r>
          </w:p>
        </w:tc>
        <w:tc>
          <w:tcPr>
            <w:tcW w:w="5413" w:type="dxa"/>
            <w:vAlign w:val="center"/>
          </w:tcPr>
          <w:p>
            <w:pPr>
              <w:spacing w:after="60" w:line="460" w:lineRule="exact"/>
              <w:jc w:val="left"/>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考察内容：项目应配备与开展工作相适应的工作团队不少于10人，</w:t>
            </w:r>
            <w:r>
              <w:rPr>
                <w:rFonts w:hint="eastAsia" w:ascii="Times New Roman" w:hAnsi="Times New Roman" w:eastAsia="宋体" w:cs="Times New Roman"/>
                <w:b/>
                <w:bCs/>
                <w:color w:val="auto"/>
                <w:szCs w:val="21"/>
                <w:highlight w:val="none"/>
                <w:lang w:val="en-US" w:eastAsia="zh-CN"/>
              </w:rPr>
              <w:t>其中专职团队成员应不少于5名</w:t>
            </w:r>
            <w:r>
              <w:rPr>
                <w:rFonts w:hint="eastAsia" w:ascii="Times New Roman" w:hAnsi="Times New Roman" w:eastAsia="宋体" w:cs="Times New Roman"/>
                <w:color w:val="auto"/>
                <w:szCs w:val="21"/>
                <w:highlight w:val="none"/>
                <w:lang w:val="en-US" w:eastAsia="zh-CN"/>
              </w:rPr>
              <w:t>，未达到人数要求的，此项不得分。在此基础上，团队成员按以下进行评分。</w:t>
            </w:r>
          </w:p>
          <w:p>
            <w:pPr>
              <w:spacing w:after="60" w:line="460" w:lineRule="exact"/>
              <w:jc w:val="left"/>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w:t>
            </w:r>
            <w:r>
              <w:rPr>
                <w:rFonts w:hint="eastAsia" w:ascii="Times New Roman" w:hAnsi="Times New Roman" w:eastAsia="宋体" w:cs="Times New Roman"/>
                <w:color w:val="auto"/>
                <w:szCs w:val="21"/>
                <w:highlight w:val="none"/>
              </w:rPr>
              <w:t>有本科或以上学历</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满足此条件，每提供一人得1分，此项最高得5分</w:t>
            </w:r>
            <w:r>
              <w:rPr>
                <w:rFonts w:hint="eastAsia"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rPr>
              <w:t>提供拟安排人员</w:t>
            </w:r>
            <w:r>
              <w:rPr>
                <w:rFonts w:hint="eastAsia" w:ascii="Times New Roman" w:hAnsi="Times New Roman" w:eastAsia="宋体" w:cs="Times New Roman"/>
                <w:color w:val="auto"/>
                <w:szCs w:val="21"/>
                <w:highlight w:val="none"/>
                <w:lang w:val="en-US" w:eastAsia="zh-CN"/>
              </w:rPr>
              <w:t>学历</w:t>
            </w:r>
            <w:r>
              <w:rPr>
                <w:rFonts w:hint="eastAsia" w:ascii="Times New Roman" w:hAnsi="Times New Roman" w:eastAsia="宋体" w:cs="Times New Roman"/>
                <w:color w:val="auto"/>
                <w:szCs w:val="21"/>
                <w:highlight w:val="none"/>
              </w:rPr>
              <w:t>证</w:t>
            </w:r>
            <w:r>
              <w:rPr>
                <w:rFonts w:hint="eastAsia" w:ascii="Times New Roman" w:hAnsi="Times New Roman" w:eastAsia="宋体" w:cs="Times New Roman"/>
                <w:color w:val="auto"/>
                <w:szCs w:val="21"/>
                <w:highlight w:val="none"/>
                <w:lang w:val="en-US" w:eastAsia="zh-CN"/>
              </w:rPr>
              <w:t>书及学历验证证明）</w:t>
            </w:r>
          </w:p>
          <w:p>
            <w:pPr>
              <w:pStyle w:val="8"/>
              <w:ind w:left="0" w:lef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2.</w:t>
            </w:r>
            <w:r>
              <w:rPr>
                <w:rFonts w:hint="eastAsia" w:ascii="Arial" w:hAnsi="Arial" w:eastAsia="宋体" w:cs="Arial"/>
                <w:color w:val="auto"/>
                <w:sz w:val="21"/>
                <w:szCs w:val="21"/>
                <w:highlight w:val="none"/>
                <w:shd w:val="clear" w:fill="FFFFFF"/>
              </w:rPr>
              <w:t>团队成员要求包括</w:t>
            </w:r>
            <w:r>
              <w:rPr>
                <w:rFonts w:hint="eastAsia" w:ascii="Arial" w:hAnsi="Arial" w:eastAsia="宋体" w:cs="Arial"/>
                <w:color w:val="auto"/>
                <w:sz w:val="21"/>
                <w:szCs w:val="21"/>
                <w:highlight w:val="none"/>
                <w:shd w:val="clear" w:fill="FFFFFF"/>
                <w:lang w:val="en-US" w:eastAsia="zh-CN"/>
              </w:rPr>
              <w:t>广告</w:t>
            </w:r>
            <w:r>
              <w:rPr>
                <w:rFonts w:hint="eastAsia" w:ascii="Arial" w:hAnsi="Arial" w:eastAsia="宋体" w:cs="Arial"/>
                <w:color w:val="auto"/>
                <w:sz w:val="21"/>
                <w:szCs w:val="21"/>
                <w:highlight w:val="none"/>
                <w:shd w:val="clear" w:fill="FFFFFF"/>
              </w:rPr>
              <w:t>策划类、艺术设计类、软件编程类、新闻类、社会工作类等五类相关专业人员，且每类专业人员人数不少于1人</w:t>
            </w:r>
            <w:r>
              <w:rPr>
                <w:rFonts w:hint="eastAsia" w:ascii="Arial" w:hAnsi="Arial" w:eastAsia="宋体" w:cs="Arial"/>
                <w:color w:val="auto"/>
                <w:sz w:val="21"/>
                <w:szCs w:val="21"/>
                <w:highlight w:val="none"/>
                <w:shd w:val="clear" w:fill="FFFFFF"/>
                <w:lang w:eastAsia="zh-CN"/>
              </w:rPr>
              <w:t>，</w:t>
            </w:r>
            <w:r>
              <w:rPr>
                <w:rFonts w:hint="eastAsia" w:ascii="Arial" w:hAnsi="Arial" w:eastAsia="宋体" w:cs="Arial"/>
                <w:color w:val="auto"/>
                <w:sz w:val="21"/>
                <w:szCs w:val="21"/>
                <w:highlight w:val="none"/>
                <w:shd w:val="clear" w:fill="FFFFFF"/>
                <w:lang w:val="en-US" w:eastAsia="zh-CN"/>
              </w:rPr>
              <w:t>满足此条件得5分，否则不得分，3.项目团队成员中持有</w:t>
            </w:r>
            <w:r>
              <w:rPr>
                <w:rFonts w:hint="eastAsia" w:ascii="Arial" w:hAnsi="Arial" w:cs="Arial"/>
                <w:i w:val="0"/>
                <w:caps w:val="0"/>
                <w:color w:val="auto"/>
                <w:spacing w:val="0"/>
                <w:sz w:val="21"/>
                <w:szCs w:val="21"/>
                <w:highlight w:val="none"/>
                <w:shd w:val="clear" w:fill="FFFFFF"/>
                <w:lang w:val="en-US" w:eastAsia="zh-CN"/>
              </w:rPr>
              <w:t>广告策划类相关职业资格证书的，每提供1人，得1分，最高得2分。（提高成名清单、相关证书复印件加盖投标人公章）</w:t>
            </w:r>
          </w:p>
          <w:p>
            <w:pPr>
              <w:spacing w:after="60" w:line="460" w:lineRule="exact"/>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证明文件：</w:t>
            </w:r>
            <w:r>
              <w:rPr>
                <w:rFonts w:hint="eastAsia" w:hAnsi="宋体"/>
                <w:color w:val="auto"/>
                <w:kern w:val="0"/>
                <w:szCs w:val="21"/>
                <w:highlight w:val="none"/>
              </w:rPr>
              <w:t>提供</w:t>
            </w:r>
            <w:r>
              <w:rPr>
                <w:rFonts w:hint="eastAsia" w:hAnsi="宋体"/>
                <w:color w:val="auto"/>
                <w:kern w:val="0"/>
                <w:szCs w:val="21"/>
                <w:highlight w:val="none"/>
                <w:lang w:val="en-US" w:eastAsia="zh-CN"/>
              </w:rPr>
              <w:t>拟派</w:t>
            </w:r>
            <w:r>
              <w:rPr>
                <w:rFonts w:hint="eastAsia"/>
                <w:color w:val="auto"/>
                <w:szCs w:val="21"/>
                <w:highlight w:val="none"/>
              </w:rPr>
              <w:t>项目团队</w:t>
            </w:r>
            <w:r>
              <w:rPr>
                <w:rFonts w:hint="eastAsia" w:hAnsi="宋体"/>
                <w:color w:val="auto"/>
                <w:kern w:val="0"/>
                <w:szCs w:val="21"/>
                <w:highlight w:val="none"/>
              </w:rPr>
              <w:t>人员</w:t>
            </w:r>
            <w:r>
              <w:rPr>
                <w:rFonts w:hint="eastAsia" w:hAnsi="宋体"/>
                <w:color w:val="auto"/>
                <w:kern w:val="0"/>
                <w:szCs w:val="21"/>
                <w:highlight w:val="none"/>
                <w:lang w:val="en-US" w:eastAsia="zh-CN"/>
              </w:rPr>
              <w:t>清单及</w:t>
            </w:r>
            <w:r>
              <w:rPr>
                <w:rFonts w:hint="eastAsia"/>
                <w:color w:val="auto"/>
                <w:szCs w:val="21"/>
                <w:highlight w:val="none"/>
              </w:rPr>
              <w:t>相关有效资格证书复印件加盖投标人公章，原件备查，</w:t>
            </w:r>
            <w:r>
              <w:rPr>
                <w:rFonts w:hint="eastAsia"/>
                <w:color w:val="auto"/>
                <w:highlight w:val="none"/>
              </w:rPr>
              <w:t>无证明资料或评分时出现无法凭所提供资料判断是否得分的情况，一律不得分。</w:t>
            </w:r>
            <w:r>
              <w:rPr>
                <w:rFonts w:hint="eastAsia" w:ascii="Times New Roman" w:hAnsi="Times New Roman" w:eastAsia="宋体" w:cs="Times New Roman"/>
                <w:b/>
                <w:bCs/>
                <w:color w:val="auto"/>
                <w:szCs w:val="21"/>
                <w:highlight w:val="none"/>
                <w:lang w:val="en-US" w:eastAsia="zh-CN"/>
              </w:rPr>
              <w:t>专职人员</w:t>
            </w:r>
            <w:r>
              <w:rPr>
                <w:rFonts w:hint="eastAsia" w:ascii="Times New Roman" w:hAnsi="Times New Roman" w:eastAsia="宋体" w:cs="Times New Roman"/>
                <w:color w:val="auto"/>
                <w:szCs w:val="21"/>
                <w:highlight w:val="none"/>
                <w:lang w:val="en-US" w:eastAsia="zh-CN"/>
              </w:rPr>
              <w:t>需按上述要求提供社保部门出具的投标截止日前三个月</w:t>
            </w:r>
            <w:r>
              <w:rPr>
                <w:rFonts w:hint="eastAsia" w:ascii="宋体" w:hAnsi="宋体"/>
                <w:color w:val="auto"/>
                <w:kern w:val="0"/>
                <w:sz w:val="20"/>
                <w:szCs w:val="20"/>
                <w:highlight w:val="none"/>
              </w:rPr>
              <w:t>（新成立不足3个月的供应商须提供自成立以来的社保证明）</w:t>
            </w:r>
            <w:r>
              <w:rPr>
                <w:rFonts w:hint="eastAsia" w:ascii="Times New Roman" w:hAnsi="Times New Roman" w:eastAsia="宋体" w:cs="Times New Roman"/>
                <w:color w:val="auto"/>
                <w:szCs w:val="21"/>
                <w:highlight w:val="none"/>
                <w:lang w:val="en-US" w:eastAsia="zh-CN"/>
              </w:rPr>
              <w:t>在投标人处购买的社保证明复印件加盖投标人公章，原件备查，未提供或无法判断的不得分。其他人员需提供与投标人处签订的聘用协议或劳动合同。</w:t>
            </w:r>
          </w:p>
          <w:p>
            <w:pPr>
              <w:spacing w:after="60" w:line="460" w:lineRule="exact"/>
              <w:jc w:val="left"/>
              <w:rPr>
                <w:rFonts w:ascii="宋体" w:hAnsi="宋体"/>
                <w:color w:val="auto"/>
                <w:szCs w:val="21"/>
                <w:highlight w:val="none"/>
              </w:rPr>
            </w:pPr>
            <w:r>
              <w:rPr>
                <w:rFonts w:hint="eastAsia" w:ascii="Times New Roman" w:hAnsi="Times New Roman" w:eastAsia="宋体" w:cs="Times New Roman"/>
                <w:color w:val="auto"/>
                <w:szCs w:val="21"/>
                <w:highlight w:val="none"/>
                <w:lang w:val="en-US" w:eastAsia="zh-CN"/>
              </w:rPr>
              <w:t>注：如</w:t>
            </w:r>
            <w:r>
              <w:rPr>
                <w:rFonts w:hint="eastAsia" w:ascii="Times New Roman" w:hAnsi="Times New Roman" w:eastAsia="宋体" w:cs="Times New Roman"/>
                <w:color w:val="auto"/>
                <w:szCs w:val="21"/>
                <w:highlight w:val="none"/>
              </w:rPr>
              <w:t>开标日上一个月的社保材料因社保部门原因暂时无法取得，则可以往前顺延一个月。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color w:val="auto"/>
                <w:szCs w:val="21"/>
                <w:highlight w:val="none"/>
              </w:rPr>
            </w:pPr>
            <w:r>
              <w:rPr>
                <w:rFonts w:ascii="宋体" w:hAnsi="宋体"/>
                <w:b/>
                <w:color w:val="auto"/>
                <w:szCs w:val="21"/>
                <w:highlight w:val="none"/>
              </w:rPr>
              <w:t>4</w:t>
            </w:r>
          </w:p>
        </w:tc>
        <w:tc>
          <w:tcPr>
            <w:tcW w:w="3090" w:type="dxa"/>
            <w:gridSpan w:val="3"/>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诚信情况</w:t>
            </w:r>
          </w:p>
        </w:tc>
        <w:tc>
          <w:tcPr>
            <w:tcW w:w="5413" w:type="dxa"/>
            <w:vAlign w:val="center"/>
          </w:tcPr>
          <w:p>
            <w:pPr>
              <w:pStyle w:val="7"/>
              <w:numPr>
                <w:ilvl w:val="12"/>
                <w:numId w:val="0"/>
              </w:numPr>
              <w:pBdr>
                <w:bottom w:val="none" w:color="auto" w:sz="0" w:space="0"/>
              </w:pBdr>
              <w:tabs>
                <w:tab w:val="clear" w:pos="4153"/>
                <w:tab w:val="clear" w:pos="8306"/>
              </w:tabs>
              <w:spacing w:line="440" w:lineRule="exact"/>
              <w:rPr>
                <w:rFonts w:hAnsi="宋体"/>
                <w:b/>
                <w:color w:val="auto"/>
                <w:sz w:val="21"/>
                <w:szCs w:val="21"/>
                <w:highlight w:val="none"/>
              </w:rPr>
            </w:pPr>
            <w:r>
              <w:rPr>
                <w:rFonts w:hint="eastAsia" w:hAnsi="宋体"/>
                <w:b/>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restart"/>
            <w:vAlign w:val="center"/>
          </w:tcPr>
          <w:p>
            <w:pPr>
              <w:spacing w:line="440" w:lineRule="exact"/>
              <w:jc w:val="center"/>
              <w:rPr>
                <w:rFonts w:ascii="宋体" w:hAnsi="宋体"/>
                <w:b/>
                <w:color w:val="auto"/>
                <w:szCs w:val="21"/>
                <w:highlight w:val="none"/>
              </w:rPr>
            </w:pPr>
          </w:p>
        </w:tc>
        <w:tc>
          <w:tcPr>
            <w:tcW w:w="749"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1662"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评分因素</w:t>
            </w:r>
          </w:p>
        </w:tc>
        <w:tc>
          <w:tcPr>
            <w:tcW w:w="679"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权重</w:t>
            </w:r>
          </w:p>
        </w:tc>
        <w:tc>
          <w:tcPr>
            <w:tcW w:w="5413"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0"/>
              <w:rPr>
                <w:rFonts w:ascii="宋体" w:hAnsi="宋体"/>
                <w:color w:val="auto"/>
                <w:szCs w:val="21"/>
                <w:highlight w:val="none"/>
              </w:rPr>
            </w:pPr>
          </w:p>
        </w:tc>
        <w:tc>
          <w:tcPr>
            <w:tcW w:w="749"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1</w:t>
            </w:r>
          </w:p>
        </w:tc>
        <w:tc>
          <w:tcPr>
            <w:tcW w:w="1662"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诚信</w:t>
            </w:r>
          </w:p>
        </w:tc>
        <w:tc>
          <w:tcPr>
            <w:tcW w:w="679"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5</w:t>
            </w:r>
          </w:p>
        </w:tc>
        <w:tc>
          <w:tcPr>
            <w:tcW w:w="5413" w:type="dxa"/>
          </w:tcPr>
          <w:p>
            <w:pPr>
              <w:pStyle w:val="3"/>
              <w:rPr>
                <w:color w:val="auto"/>
                <w:highlight w:val="none"/>
              </w:rPr>
            </w:pPr>
            <w:r>
              <w:rPr>
                <w:rFonts w:hint="eastAsia"/>
                <w:color w:val="auto"/>
                <w:highlight w:val="none"/>
              </w:rPr>
              <w:t>投标人存在《诚信承诺函》所列情形但超出法定追诉时效，或情节轻微未给予禁止参与政府采购的行政处罚的，本项得0分，不存在上述情形的，本项得满分。</w:t>
            </w:r>
          </w:p>
          <w:p>
            <w:pPr>
              <w:pStyle w:val="3"/>
              <w:rPr>
                <w:rFonts w:ascii="宋体" w:hAnsi="宋体"/>
                <w:color w:val="auto"/>
                <w:szCs w:val="21"/>
                <w:highlight w:val="none"/>
              </w:rPr>
            </w:pPr>
            <w:r>
              <w:rPr>
                <w:rFonts w:hint="eastAsia"/>
                <w:color w:val="auto"/>
                <w:highlight w:val="none"/>
              </w:rPr>
              <w:t>注：提供《诚信承诺函》盖投标人公章（详见“格式十二：诚信承诺函格式”），投标人应对提供的《诚信承诺函》负责（格式必须按照招标文件格式要求，不得作出任何调整或修订，否则视为无效证明文件）。</w:t>
            </w:r>
          </w:p>
        </w:tc>
      </w:tr>
    </w:tbl>
    <w:p>
      <w:pPr>
        <w:spacing w:line="440" w:lineRule="exact"/>
        <w:ind w:firstLine="422" w:firstLineChars="200"/>
        <w:rPr>
          <w:rFonts w:ascii="宋体" w:hAnsi="宋体"/>
          <w:color w:val="auto"/>
          <w:szCs w:val="21"/>
          <w:highlight w:val="none"/>
        </w:rPr>
      </w:pPr>
      <w:r>
        <w:rPr>
          <w:rFonts w:hint="eastAsia" w:ascii="宋体" w:hAnsi="宋体"/>
          <w:b/>
          <w:color w:val="auto"/>
          <w:szCs w:val="21"/>
          <w:highlight w:val="none"/>
        </w:rPr>
        <w:t>说明：</w:t>
      </w:r>
      <w:r>
        <w:rPr>
          <w:rFonts w:hint="eastAsia" w:ascii="宋体" w:hAnsi="宋体"/>
          <w:color w:val="auto"/>
          <w:szCs w:val="21"/>
          <w:highlight w:val="none"/>
        </w:rPr>
        <w:t>1、本评分表中每一栏的得分最高不得超过该项评审指标的分值。2、表中要求提供相关计分证明文件的内容，投标文件中须明确加以说明，未按要求提供相关文件或说明不清楚的按不符合要求处理。</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三、评标及定标程序</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（一）授权评标委员会确定中标单位的方式</w:t>
      </w:r>
    </w:p>
    <w:p>
      <w:pPr>
        <w:pStyle w:val="12"/>
        <w:numPr>
          <w:ilvl w:val="0"/>
          <w:numId w:val="2"/>
        </w:numPr>
        <w:spacing w:line="440" w:lineRule="exact"/>
        <w:ind w:firstLineChars="0"/>
        <w:rPr>
          <w:rFonts w:ascii="宋体" w:hAnsi="宋体"/>
          <w:b/>
          <w:color w:val="auto"/>
          <w:szCs w:val="21"/>
          <w:highlight w:val="none"/>
        </w:rPr>
      </w:pPr>
      <w:r>
        <w:rPr>
          <w:rFonts w:ascii="宋体" w:hAnsi="宋体"/>
          <w:b/>
          <w:color w:val="auto"/>
          <w:szCs w:val="21"/>
          <w:highlight w:val="none"/>
        </w:rPr>
        <w:t>综合评分法</w:t>
      </w:r>
    </w:p>
    <w:p>
      <w:pPr>
        <w:spacing w:line="440" w:lineRule="exact"/>
        <w:ind w:firstLine="422" w:firstLineChars="200"/>
        <w:rPr>
          <w:rFonts w:ascii="Calibri" w:hAnsi="Calibri"/>
          <w:b/>
          <w:color w:val="auto"/>
          <w:szCs w:val="21"/>
          <w:highlight w:val="none"/>
        </w:rPr>
      </w:pPr>
      <w:r>
        <w:rPr>
          <w:rFonts w:hint="eastAsia" w:ascii="宋体" w:hAnsi="宋体"/>
          <w:b/>
          <w:color w:val="auto"/>
          <w:szCs w:val="21"/>
          <w:highlight w:val="none"/>
        </w:rPr>
        <w:t>1、</w:t>
      </w:r>
      <w:r>
        <w:rPr>
          <w:rFonts w:ascii="Calibri" w:hAnsi="宋体"/>
          <w:b/>
          <w:color w:val="auto"/>
          <w:szCs w:val="21"/>
          <w:highlight w:val="none"/>
        </w:rPr>
        <w:t>符合性检查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ascii="宋体" w:hAnsi="宋体"/>
          <w:bCs/>
          <w:color w:val="auto"/>
          <w:szCs w:val="21"/>
          <w:highlight w:val="none"/>
        </w:rPr>
        <w:t>评标委员会根据</w:t>
      </w:r>
      <w:r>
        <w:rPr>
          <w:rFonts w:hint="eastAsia" w:ascii="宋体" w:hAnsi="宋体"/>
          <w:bCs/>
          <w:color w:val="auto"/>
          <w:szCs w:val="21"/>
          <w:highlight w:val="none"/>
        </w:rPr>
        <w:t>《</w:t>
      </w:r>
      <w:r>
        <w:rPr>
          <w:rFonts w:ascii="宋体" w:hAnsi="宋体"/>
          <w:bCs/>
          <w:color w:val="auto"/>
          <w:szCs w:val="21"/>
          <w:highlight w:val="none"/>
        </w:rPr>
        <w:t>符合性检查表》的内容和标准，对所有</w:t>
      </w:r>
      <w:r>
        <w:rPr>
          <w:rFonts w:hint="eastAsia" w:ascii="宋体" w:hAnsi="宋体"/>
          <w:bCs/>
          <w:color w:val="auto"/>
          <w:szCs w:val="21"/>
          <w:highlight w:val="none"/>
        </w:rPr>
        <w:t>通过资格性核查的</w:t>
      </w:r>
      <w:r>
        <w:rPr>
          <w:rFonts w:ascii="宋体" w:hAnsi="宋体"/>
          <w:bCs/>
          <w:color w:val="auto"/>
          <w:szCs w:val="21"/>
          <w:highlight w:val="none"/>
        </w:rPr>
        <w:t>投标</w:t>
      </w:r>
      <w:r>
        <w:rPr>
          <w:rFonts w:hint="eastAsia" w:ascii="宋体" w:hAnsi="宋体"/>
          <w:bCs/>
          <w:color w:val="auto"/>
          <w:szCs w:val="21"/>
          <w:highlight w:val="none"/>
        </w:rPr>
        <w:t>文件</w:t>
      </w:r>
      <w:r>
        <w:rPr>
          <w:rFonts w:ascii="宋体" w:hAnsi="宋体"/>
          <w:bCs/>
          <w:color w:val="auto"/>
          <w:szCs w:val="21"/>
          <w:highlight w:val="none"/>
        </w:rPr>
        <w:t>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符合性检查的对象是投标人提交的投标文件，评标委员会只就投标文件中所载明的情况进行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Calibri" w:hAnsi="Calibri"/>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符</w:t>
      </w:r>
      <w:r>
        <w:rPr>
          <w:rFonts w:ascii="Calibri" w:hAnsi="宋体"/>
          <w:color w:val="auto"/>
          <w:szCs w:val="21"/>
          <w:highlight w:val="none"/>
        </w:rPr>
        <w:t>合性检查的结果是</w:t>
      </w:r>
      <w:r>
        <w:rPr>
          <w:rFonts w:ascii="Calibri" w:hAnsi="Calibri"/>
          <w:color w:val="auto"/>
          <w:szCs w:val="21"/>
          <w:highlight w:val="none"/>
        </w:rPr>
        <w:t>“</w:t>
      </w:r>
      <w:r>
        <w:rPr>
          <w:rFonts w:ascii="Calibri" w:hAnsi="宋体"/>
          <w:color w:val="auto"/>
          <w:szCs w:val="21"/>
          <w:highlight w:val="none"/>
        </w:rPr>
        <w:t>通过</w:t>
      </w:r>
      <w:r>
        <w:rPr>
          <w:rFonts w:ascii="Calibri" w:hAnsi="Calibri"/>
          <w:color w:val="auto"/>
          <w:szCs w:val="21"/>
          <w:highlight w:val="none"/>
        </w:rPr>
        <w:t>”</w:t>
      </w:r>
      <w:r>
        <w:rPr>
          <w:rFonts w:ascii="Calibri" w:hAnsi="宋体"/>
          <w:color w:val="auto"/>
          <w:szCs w:val="21"/>
          <w:highlight w:val="none"/>
        </w:rPr>
        <w:t>或</w:t>
      </w:r>
      <w:r>
        <w:rPr>
          <w:rFonts w:ascii="Calibri" w:hAnsi="Calibri"/>
          <w:color w:val="auto"/>
          <w:szCs w:val="21"/>
          <w:highlight w:val="none"/>
        </w:rPr>
        <w:t>“</w:t>
      </w:r>
      <w:r>
        <w:rPr>
          <w:rFonts w:ascii="Calibri" w:hAnsi="宋体"/>
          <w:color w:val="auto"/>
          <w:szCs w:val="21"/>
          <w:highlight w:val="none"/>
        </w:rPr>
        <w:t>不通过</w:t>
      </w:r>
      <w:r>
        <w:rPr>
          <w:rFonts w:ascii="Calibri" w:hAnsi="Calibri"/>
          <w:color w:val="auto"/>
          <w:szCs w:val="21"/>
          <w:highlight w:val="none"/>
        </w:rPr>
        <w:t>”</w:t>
      </w:r>
      <w:r>
        <w:rPr>
          <w:rFonts w:ascii="Calibri" w:hAnsi="宋体"/>
          <w:color w:val="auto"/>
          <w:szCs w:val="21"/>
          <w:highlight w:val="none"/>
        </w:rPr>
        <w:t>，只有逐条通过</w:t>
      </w:r>
      <w:r>
        <w:rPr>
          <w:rFonts w:ascii="宋体" w:hAnsi="宋体"/>
          <w:bCs/>
          <w:color w:val="auto"/>
          <w:szCs w:val="21"/>
          <w:highlight w:val="none"/>
        </w:rPr>
        <w:t>《符合性检查表》</w:t>
      </w:r>
      <w:r>
        <w:rPr>
          <w:rFonts w:ascii="Calibri" w:hAnsi="宋体"/>
          <w:color w:val="auto"/>
          <w:szCs w:val="21"/>
          <w:highlight w:val="none"/>
        </w:rPr>
        <w:t>各项检查的投标方能进入下一阶段的评标，否则将导致其投标被废标。</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商务</w:t>
      </w:r>
      <w:r>
        <w:rPr>
          <w:rFonts w:hint="eastAsia" w:ascii="宋体" w:hAnsi="宋体"/>
          <w:b/>
          <w:color w:val="auto"/>
          <w:szCs w:val="21"/>
          <w:highlight w:val="none"/>
        </w:rPr>
        <w:t>、</w:t>
      </w:r>
      <w:r>
        <w:rPr>
          <w:rFonts w:ascii="宋体" w:hAnsi="宋体"/>
          <w:b/>
          <w:color w:val="auto"/>
          <w:szCs w:val="21"/>
          <w:highlight w:val="none"/>
        </w:rPr>
        <w:t>技术及价格评议</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评标委员会根据《</w:t>
      </w:r>
      <w:r>
        <w:rPr>
          <w:rFonts w:hint="eastAsia" w:ascii="宋体" w:hAnsi="宋体"/>
          <w:color w:val="auto"/>
          <w:szCs w:val="21"/>
          <w:highlight w:val="none"/>
        </w:rPr>
        <w:t>评分表</w:t>
      </w:r>
      <w:r>
        <w:rPr>
          <w:rFonts w:ascii="宋体" w:hAnsi="宋体"/>
          <w:color w:val="auto"/>
          <w:szCs w:val="21"/>
          <w:highlight w:val="none"/>
        </w:rPr>
        <w:t>》的内容和标准，对通过</w:t>
      </w:r>
      <w:r>
        <w:rPr>
          <w:rFonts w:hint="eastAsia" w:ascii="宋体" w:hAnsi="宋体"/>
          <w:bCs/>
          <w:color w:val="auto"/>
          <w:szCs w:val="21"/>
          <w:highlight w:val="none"/>
        </w:rPr>
        <w:t>资格性和</w:t>
      </w:r>
      <w:r>
        <w:rPr>
          <w:rFonts w:ascii="宋体" w:hAnsi="宋体"/>
          <w:bCs/>
          <w:color w:val="auto"/>
          <w:szCs w:val="21"/>
          <w:highlight w:val="none"/>
        </w:rPr>
        <w:t>符合性</w:t>
      </w:r>
      <w:r>
        <w:rPr>
          <w:rFonts w:ascii="宋体" w:hAnsi="宋体"/>
          <w:color w:val="auto"/>
          <w:szCs w:val="21"/>
          <w:highlight w:val="none"/>
        </w:rPr>
        <w:t>检查的投标进行商务</w:t>
      </w:r>
      <w:r>
        <w:rPr>
          <w:rFonts w:hint="eastAsia" w:ascii="宋体" w:hAnsi="宋体"/>
          <w:color w:val="auto"/>
          <w:szCs w:val="21"/>
          <w:highlight w:val="none"/>
        </w:rPr>
        <w:t>、</w:t>
      </w:r>
      <w:r>
        <w:rPr>
          <w:rFonts w:ascii="宋体" w:hAnsi="宋体"/>
          <w:color w:val="auto"/>
          <w:szCs w:val="21"/>
          <w:highlight w:val="none"/>
        </w:rPr>
        <w:t>技术</w:t>
      </w:r>
      <w:r>
        <w:rPr>
          <w:rFonts w:hint="eastAsia" w:ascii="宋体" w:hAnsi="宋体"/>
          <w:color w:val="auto"/>
          <w:szCs w:val="21"/>
          <w:highlight w:val="none"/>
        </w:rPr>
        <w:t>及价格</w:t>
      </w:r>
      <w:r>
        <w:rPr>
          <w:rFonts w:ascii="宋体" w:hAnsi="宋体"/>
          <w:color w:val="auto"/>
          <w:szCs w:val="21"/>
          <w:highlight w:val="none"/>
        </w:rPr>
        <w:t>评议。</w:t>
      </w:r>
    </w:p>
    <w:p>
      <w:pPr>
        <w:spacing w:line="440" w:lineRule="exact"/>
        <w:ind w:firstLine="420" w:firstLineChars="200"/>
        <w:rPr>
          <w:rFonts w:ascii="Calibri" w:hAnsi="Calibri"/>
          <w:color w:val="auto"/>
          <w:szCs w:val="21"/>
          <w:highlight w:val="none"/>
        </w:rPr>
      </w:pPr>
      <w:r>
        <w:rPr>
          <w:rFonts w:hint="eastAsia" w:ascii="宋体" w:hAnsi="宋体"/>
          <w:color w:val="auto"/>
          <w:szCs w:val="21"/>
          <w:highlight w:val="none"/>
        </w:rPr>
        <w:t>（2）</w:t>
      </w:r>
      <w:r>
        <w:rPr>
          <w:rFonts w:ascii="宋体" w:hAnsi="宋体"/>
          <w:color w:val="auto"/>
          <w:szCs w:val="21"/>
          <w:highlight w:val="none"/>
        </w:rPr>
        <w:t>评</w:t>
      </w:r>
      <w:r>
        <w:rPr>
          <w:rFonts w:ascii="Calibri" w:hAnsi="宋体"/>
          <w:color w:val="auto"/>
          <w:szCs w:val="21"/>
          <w:highlight w:val="none"/>
        </w:rPr>
        <w:t>标委员会将对照招标文件中的商务、技术需求条款和投标文件中的商务、技术条款响应进行评议</w:t>
      </w:r>
      <w:r>
        <w:rPr>
          <w:rFonts w:hint="eastAsia" w:ascii="Calibri" w:hAnsi="宋体"/>
          <w:color w:val="auto"/>
          <w:szCs w:val="21"/>
          <w:highlight w:val="none"/>
        </w:rPr>
        <w:t>；</w:t>
      </w:r>
      <w:r>
        <w:rPr>
          <w:rFonts w:ascii="Calibri" w:hAnsi="宋体"/>
          <w:color w:val="auto"/>
          <w:szCs w:val="21"/>
          <w:highlight w:val="none"/>
        </w:rPr>
        <w:t>评标委员会成员将按照《</w:t>
      </w:r>
      <w:r>
        <w:rPr>
          <w:rFonts w:hint="eastAsia" w:ascii="Calibri" w:hAnsi="宋体"/>
          <w:color w:val="auto"/>
          <w:szCs w:val="21"/>
          <w:highlight w:val="none"/>
        </w:rPr>
        <w:t>评分表</w:t>
      </w:r>
      <w:r>
        <w:rPr>
          <w:rFonts w:ascii="Calibri" w:hAnsi="宋体"/>
          <w:color w:val="auto"/>
          <w:szCs w:val="21"/>
          <w:highlight w:val="none"/>
        </w:rPr>
        <w:t>》确定的</w:t>
      </w:r>
      <w:r>
        <w:rPr>
          <w:rFonts w:hint="eastAsia" w:ascii="Calibri" w:hAnsi="宋体"/>
          <w:color w:val="auto"/>
          <w:szCs w:val="21"/>
          <w:highlight w:val="none"/>
        </w:rPr>
        <w:t>分值</w:t>
      </w:r>
      <w:r>
        <w:rPr>
          <w:rFonts w:ascii="Calibri" w:hAnsi="宋体"/>
          <w:color w:val="auto"/>
          <w:szCs w:val="21"/>
          <w:highlight w:val="none"/>
        </w:rPr>
        <w:t>独立对每个投标的商务</w:t>
      </w:r>
      <w:r>
        <w:rPr>
          <w:rFonts w:hint="eastAsia" w:ascii="Calibri" w:hAnsi="宋体"/>
          <w:color w:val="auto"/>
          <w:szCs w:val="21"/>
          <w:highlight w:val="none"/>
        </w:rPr>
        <w:t>、</w:t>
      </w:r>
      <w:r>
        <w:rPr>
          <w:rFonts w:ascii="Calibri" w:hAnsi="宋体"/>
          <w:color w:val="auto"/>
          <w:szCs w:val="21"/>
          <w:highlight w:val="none"/>
        </w:rPr>
        <w:t>技术</w:t>
      </w:r>
      <w:r>
        <w:rPr>
          <w:rFonts w:hint="eastAsia" w:ascii="Calibri" w:hAnsi="宋体"/>
          <w:color w:val="auto"/>
          <w:szCs w:val="21"/>
          <w:highlight w:val="none"/>
        </w:rPr>
        <w:t>及价格</w:t>
      </w:r>
      <w:r>
        <w:rPr>
          <w:rFonts w:ascii="Calibri" w:hAnsi="宋体"/>
          <w:color w:val="auto"/>
          <w:szCs w:val="21"/>
          <w:highlight w:val="none"/>
        </w:rPr>
        <w:t>部分以打分的方式进行评议。</w:t>
      </w:r>
    </w:p>
    <w:p>
      <w:pPr>
        <w:spacing w:line="440" w:lineRule="exact"/>
        <w:ind w:firstLine="422" w:firstLineChars="200"/>
        <w:rPr>
          <w:rFonts w:ascii="Calibri" w:hAnsi="Calibri"/>
          <w:b/>
          <w:color w:val="auto"/>
          <w:szCs w:val="21"/>
          <w:highlight w:val="none"/>
        </w:rPr>
      </w:pPr>
      <w:r>
        <w:rPr>
          <w:rFonts w:hint="eastAsia" w:ascii="宋体" w:hAnsi="宋体"/>
          <w:b/>
          <w:color w:val="auto"/>
          <w:szCs w:val="21"/>
          <w:highlight w:val="none"/>
        </w:rPr>
        <w:t>3、</w:t>
      </w:r>
      <w:r>
        <w:rPr>
          <w:rFonts w:ascii="Calibri" w:hAnsi="宋体"/>
          <w:b/>
          <w:color w:val="auto"/>
          <w:szCs w:val="21"/>
          <w:highlight w:val="none"/>
        </w:rPr>
        <w:t>中标</w:t>
      </w:r>
      <w:r>
        <w:rPr>
          <w:rFonts w:hint="eastAsia" w:ascii="Calibri" w:hAnsi="宋体"/>
          <w:b/>
          <w:color w:val="auto"/>
          <w:szCs w:val="21"/>
          <w:highlight w:val="none"/>
        </w:rPr>
        <w:t>单位</w:t>
      </w:r>
      <w:r>
        <w:rPr>
          <w:rFonts w:ascii="Calibri" w:hAnsi="宋体"/>
          <w:b/>
          <w:color w:val="auto"/>
          <w:szCs w:val="21"/>
          <w:highlight w:val="none"/>
        </w:rPr>
        <w:t>的确定</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 xml:space="preserve">3.1  </w:t>
      </w:r>
      <w:r>
        <w:rPr>
          <w:rFonts w:hint="eastAsia" w:ascii="宋体" w:hAnsi="宋体"/>
          <w:b/>
          <w:bCs/>
          <w:color w:val="auto"/>
          <w:szCs w:val="21"/>
          <w:highlight w:val="none"/>
        </w:rPr>
        <w:t>候选中标供应商推荐</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（1）每个投标单位的评标总得分以</w:t>
      </w:r>
      <w:r>
        <w:rPr>
          <w:rFonts w:hint="eastAsia" w:ascii="宋体" w:hAnsi="宋体"/>
          <w:color w:val="auto"/>
          <w:szCs w:val="21"/>
          <w:highlight w:val="none"/>
        </w:rPr>
        <w:t>所有评标委员会成员的独立评分汇总</w:t>
      </w:r>
      <w:r>
        <w:rPr>
          <w:rFonts w:hint="eastAsia" w:ascii="宋体" w:hAnsi="宋体"/>
          <w:bCs/>
          <w:color w:val="auto"/>
          <w:szCs w:val="21"/>
          <w:highlight w:val="none"/>
        </w:rPr>
        <w:t>后确定，</w:t>
      </w:r>
      <w:r>
        <w:rPr>
          <w:rFonts w:ascii="宋体" w:hAnsi="宋体"/>
          <w:bCs/>
          <w:color w:val="auto"/>
          <w:szCs w:val="21"/>
          <w:highlight w:val="none"/>
        </w:rPr>
        <w:t>评标总得分相同的，按投标报价由低到高顺序排列；评标总得分且投标报价相同的，按技术指标</w:t>
      </w:r>
      <w:r>
        <w:rPr>
          <w:rFonts w:hint="eastAsia" w:ascii="宋体" w:hAnsi="宋体"/>
          <w:bCs/>
          <w:color w:val="auto"/>
          <w:szCs w:val="21"/>
          <w:highlight w:val="none"/>
        </w:rPr>
        <w:t>（技术部分）</w:t>
      </w:r>
      <w:r>
        <w:rPr>
          <w:rFonts w:ascii="宋体" w:hAnsi="宋体"/>
          <w:bCs/>
          <w:color w:val="auto"/>
          <w:szCs w:val="21"/>
          <w:highlight w:val="none"/>
        </w:rPr>
        <w:t>得分优劣顺序排列</w:t>
      </w:r>
      <w:r>
        <w:rPr>
          <w:rFonts w:hint="eastAsia" w:ascii="Calibri" w:hAnsi="宋体"/>
          <w:color w:val="auto"/>
          <w:szCs w:val="21"/>
          <w:highlight w:val="none"/>
        </w:rPr>
        <w:t>；如</w:t>
      </w:r>
      <w:r>
        <w:rPr>
          <w:rFonts w:ascii="Calibri" w:hAnsi="宋体"/>
          <w:color w:val="auto"/>
          <w:szCs w:val="21"/>
          <w:highlight w:val="none"/>
        </w:rPr>
        <w:t>技术指标</w:t>
      </w:r>
      <w:r>
        <w:rPr>
          <w:rFonts w:hint="eastAsia" w:ascii="Calibri" w:hAnsi="宋体"/>
          <w:color w:val="auto"/>
          <w:szCs w:val="21"/>
          <w:highlight w:val="none"/>
        </w:rPr>
        <w:t>（技术部分）</w:t>
      </w:r>
      <w:r>
        <w:rPr>
          <w:rFonts w:ascii="Calibri" w:hAnsi="宋体"/>
          <w:color w:val="auto"/>
          <w:szCs w:val="21"/>
          <w:highlight w:val="none"/>
        </w:rPr>
        <w:t>得分</w:t>
      </w:r>
      <w:r>
        <w:rPr>
          <w:rFonts w:hint="eastAsia" w:ascii="Calibri" w:hAnsi="宋体"/>
          <w:color w:val="auto"/>
          <w:szCs w:val="21"/>
          <w:highlight w:val="none"/>
        </w:rPr>
        <w:t>仍然相同的，则采用抽签方式确定排序，</w:t>
      </w:r>
      <w:r>
        <w:rPr>
          <w:rFonts w:hint="eastAsia" w:asciiTheme="minorEastAsia" w:hAnsiTheme="minorEastAsia" w:eastAsiaTheme="minorEastAsia"/>
          <w:color w:val="auto"/>
          <w:szCs w:val="21"/>
          <w:highlight w:val="none"/>
        </w:rPr>
        <w:t>具体操作办法及流程由评标委员会确定</w:t>
      </w:r>
      <w:r>
        <w:rPr>
          <w:rFonts w:ascii="宋体" w:hAnsi="宋体"/>
          <w:bCs/>
          <w:color w:val="auto"/>
          <w:szCs w:val="21"/>
          <w:highlight w:val="none"/>
        </w:rPr>
        <w:t>。</w:t>
      </w:r>
    </w:p>
    <w:p>
      <w:pPr>
        <w:spacing w:line="440" w:lineRule="exact"/>
        <w:ind w:firstLine="420" w:firstLineChars="200"/>
        <w:rPr>
          <w:color w:val="auto"/>
          <w:szCs w:val="21"/>
          <w:highlight w:val="none"/>
        </w:rPr>
      </w:pPr>
      <w:r>
        <w:rPr>
          <w:rFonts w:hint="eastAsia" w:ascii="宋体" w:hAnsi="宋体"/>
          <w:bCs/>
          <w:color w:val="auto"/>
          <w:szCs w:val="21"/>
          <w:highlight w:val="none"/>
        </w:rPr>
        <w:t>（2）评标委员会按照综合评分的排名结果推荐中标候选供应商，</w:t>
      </w:r>
      <w:r>
        <w:rPr>
          <w:rFonts w:hint="eastAsia" w:ascii="宋体" w:hAnsi="宋体"/>
          <w:color w:val="auto"/>
          <w:szCs w:val="21"/>
          <w:highlight w:val="none"/>
        </w:rPr>
        <w:t>排名前三的投标单位</w:t>
      </w:r>
      <w:r>
        <w:rPr>
          <w:rFonts w:hint="eastAsia" w:ascii="宋体" w:hAnsi="宋体"/>
          <w:bCs/>
          <w:color w:val="auto"/>
          <w:szCs w:val="21"/>
          <w:highlight w:val="none"/>
        </w:rPr>
        <w:t>作为推荐的候选中标供应商。</w:t>
      </w:r>
    </w:p>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3.2  定标</w:t>
      </w:r>
    </w:p>
    <w:p>
      <w:pPr>
        <w:spacing w:line="440" w:lineRule="exact"/>
        <w:ind w:firstLine="420" w:firstLineChars="200"/>
        <w:rPr>
          <w:rFonts w:ascii="Calibri" w:hAnsi="Calibri"/>
          <w:color w:val="auto"/>
          <w:szCs w:val="21"/>
          <w:highlight w:val="none"/>
        </w:rPr>
      </w:pPr>
      <w:r>
        <w:rPr>
          <w:rFonts w:hint="eastAsia" w:ascii="宋体" w:hAnsi="宋体"/>
          <w:bCs/>
          <w:color w:val="auto"/>
          <w:szCs w:val="21"/>
          <w:highlight w:val="none"/>
        </w:rPr>
        <w:t>采购方授权评标委员会确定中标单位，确定评标总得分最高且</w:t>
      </w:r>
      <w:r>
        <w:rPr>
          <w:rFonts w:ascii="宋体" w:hAnsi="宋体"/>
          <w:bCs/>
          <w:color w:val="auto"/>
          <w:szCs w:val="21"/>
          <w:highlight w:val="none"/>
        </w:rPr>
        <w:t>排名第一</w:t>
      </w:r>
      <w:r>
        <w:rPr>
          <w:rFonts w:hint="eastAsia" w:ascii="宋体" w:hAnsi="宋体"/>
          <w:bCs/>
          <w:color w:val="auto"/>
          <w:szCs w:val="21"/>
          <w:highlight w:val="none"/>
        </w:rPr>
        <w:t>的投标人为中标单位。</w:t>
      </w:r>
    </w:p>
    <w:p>
      <w:pPr>
        <w:pStyle w:val="12"/>
        <w:numPr>
          <w:ilvl w:val="0"/>
          <w:numId w:val="2"/>
        </w:numPr>
        <w:spacing w:line="440" w:lineRule="exact"/>
        <w:ind w:firstLineChars="0"/>
        <w:rPr>
          <w:rFonts w:ascii="宋体" w:hAnsi="宋体"/>
          <w:b/>
          <w:color w:val="auto"/>
          <w:szCs w:val="21"/>
          <w:highlight w:val="none"/>
        </w:rPr>
      </w:pPr>
      <w:r>
        <w:rPr>
          <w:b/>
          <w:color w:val="auto"/>
          <w:szCs w:val="21"/>
          <w:highlight w:val="none"/>
        </w:rPr>
        <w:t>最低价法</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1、</w:t>
      </w:r>
      <w:r>
        <w:rPr>
          <w:rFonts w:ascii="宋体" w:hAnsi="宋体"/>
          <w:b/>
          <w:color w:val="auto"/>
          <w:szCs w:val="21"/>
          <w:highlight w:val="none"/>
        </w:rPr>
        <w:t>符合性检查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ascii="宋体" w:hAnsi="宋体"/>
          <w:bCs/>
          <w:color w:val="auto"/>
          <w:szCs w:val="21"/>
          <w:highlight w:val="none"/>
        </w:rPr>
        <w:t>评标委员会根据</w:t>
      </w:r>
      <w:r>
        <w:rPr>
          <w:rFonts w:hint="eastAsia" w:ascii="宋体" w:hAnsi="宋体"/>
          <w:bCs/>
          <w:color w:val="auto"/>
          <w:szCs w:val="21"/>
          <w:highlight w:val="none"/>
        </w:rPr>
        <w:t>《</w:t>
      </w:r>
      <w:r>
        <w:rPr>
          <w:rFonts w:ascii="宋体" w:hAnsi="宋体"/>
          <w:bCs/>
          <w:color w:val="auto"/>
          <w:szCs w:val="21"/>
          <w:highlight w:val="none"/>
        </w:rPr>
        <w:t>符合性检查表》的内容和标准，对所有</w:t>
      </w:r>
      <w:r>
        <w:rPr>
          <w:rFonts w:hint="eastAsia" w:ascii="宋体" w:hAnsi="宋体"/>
          <w:bCs/>
          <w:color w:val="auto"/>
          <w:szCs w:val="21"/>
          <w:highlight w:val="none"/>
        </w:rPr>
        <w:t>通过资格性核查的</w:t>
      </w:r>
      <w:r>
        <w:rPr>
          <w:rFonts w:ascii="宋体" w:hAnsi="宋体"/>
          <w:bCs/>
          <w:color w:val="auto"/>
          <w:szCs w:val="21"/>
          <w:highlight w:val="none"/>
        </w:rPr>
        <w:t>投标</w:t>
      </w:r>
      <w:r>
        <w:rPr>
          <w:rFonts w:hint="eastAsia" w:ascii="宋体" w:hAnsi="宋体"/>
          <w:bCs/>
          <w:color w:val="auto"/>
          <w:szCs w:val="21"/>
          <w:highlight w:val="none"/>
        </w:rPr>
        <w:t>文件</w:t>
      </w:r>
      <w:r>
        <w:rPr>
          <w:rFonts w:ascii="宋体" w:hAnsi="宋体"/>
          <w:bCs/>
          <w:color w:val="auto"/>
          <w:szCs w:val="21"/>
          <w:highlight w:val="none"/>
        </w:rPr>
        <w:t>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符合性检查的对象是投标人提交的投标文件，评标委员会只就投标文件中所载明的情况进行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Calibri" w:hAnsi="Calibri"/>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符</w:t>
      </w:r>
      <w:r>
        <w:rPr>
          <w:rFonts w:ascii="Calibri" w:hAnsi="宋体"/>
          <w:color w:val="auto"/>
          <w:szCs w:val="21"/>
          <w:highlight w:val="none"/>
        </w:rPr>
        <w:t>合性检查的结果是</w:t>
      </w:r>
      <w:r>
        <w:rPr>
          <w:rFonts w:ascii="Calibri" w:hAnsi="Calibri"/>
          <w:color w:val="auto"/>
          <w:szCs w:val="21"/>
          <w:highlight w:val="none"/>
        </w:rPr>
        <w:t>“</w:t>
      </w:r>
      <w:r>
        <w:rPr>
          <w:rFonts w:ascii="Calibri" w:hAnsi="宋体"/>
          <w:color w:val="auto"/>
          <w:szCs w:val="21"/>
          <w:highlight w:val="none"/>
        </w:rPr>
        <w:t>通过</w:t>
      </w:r>
      <w:r>
        <w:rPr>
          <w:rFonts w:ascii="Calibri" w:hAnsi="Calibri"/>
          <w:color w:val="auto"/>
          <w:szCs w:val="21"/>
          <w:highlight w:val="none"/>
        </w:rPr>
        <w:t>”</w:t>
      </w:r>
      <w:r>
        <w:rPr>
          <w:rFonts w:ascii="Calibri" w:hAnsi="宋体"/>
          <w:color w:val="auto"/>
          <w:szCs w:val="21"/>
          <w:highlight w:val="none"/>
        </w:rPr>
        <w:t>或</w:t>
      </w:r>
      <w:r>
        <w:rPr>
          <w:rFonts w:ascii="Calibri" w:hAnsi="Calibri"/>
          <w:color w:val="auto"/>
          <w:szCs w:val="21"/>
          <w:highlight w:val="none"/>
        </w:rPr>
        <w:t>“</w:t>
      </w:r>
      <w:r>
        <w:rPr>
          <w:rFonts w:ascii="Calibri" w:hAnsi="宋体"/>
          <w:color w:val="auto"/>
          <w:szCs w:val="21"/>
          <w:highlight w:val="none"/>
        </w:rPr>
        <w:t>不通过</w:t>
      </w:r>
      <w:r>
        <w:rPr>
          <w:rFonts w:ascii="Calibri" w:hAnsi="Calibri"/>
          <w:color w:val="auto"/>
          <w:szCs w:val="21"/>
          <w:highlight w:val="none"/>
        </w:rPr>
        <w:t>”</w:t>
      </w:r>
      <w:r>
        <w:rPr>
          <w:rFonts w:ascii="Calibri" w:hAnsi="宋体"/>
          <w:color w:val="auto"/>
          <w:szCs w:val="21"/>
          <w:highlight w:val="none"/>
        </w:rPr>
        <w:t>，只有逐条通过</w:t>
      </w:r>
      <w:r>
        <w:rPr>
          <w:rFonts w:ascii="宋体" w:hAnsi="宋体"/>
          <w:bCs/>
          <w:color w:val="auto"/>
          <w:szCs w:val="21"/>
          <w:highlight w:val="none"/>
        </w:rPr>
        <w:t>《符合性检查表》</w:t>
      </w:r>
      <w:r>
        <w:rPr>
          <w:rFonts w:ascii="Calibri" w:hAnsi="宋体"/>
          <w:color w:val="auto"/>
          <w:szCs w:val="21"/>
          <w:highlight w:val="none"/>
        </w:rPr>
        <w:t>各项检查的投标方能进入下一阶段的评标，否则将导致其投标被废标。</w:t>
      </w:r>
    </w:p>
    <w:p>
      <w:pPr>
        <w:spacing w:line="440" w:lineRule="exact"/>
        <w:ind w:firstLine="422" w:firstLineChars="200"/>
        <w:rPr>
          <w:rFonts w:ascii="Calibri" w:hAnsi="Calibri"/>
          <w:b/>
          <w:color w:val="auto"/>
          <w:szCs w:val="21"/>
          <w:highlight w:val="none"/>
        </w:rPr>
      </w:pPr>
      <w:r>
        <w:rPr>
          <w:rFonts w:hint="eastAsia" w:ascii="宋体" w:hAnsi="宋体"/>
          <w:b/>
          <w:color w:val="auto"/>
          <w:szCs w:val="21"/>
          <w:highlight w:val="none"/>
        </w:rPr>
        <w:t>2、</w:t>
      </w:r>
      <w:r>
        <w:rPr>
          <w:rFonts w:ascii="Calibri" w:hAnsi="宋体"/>
          <w:b/>
          <w:color w:val="auto"/>
          <w:szCs w:val="21"/>
          <w:highlight w:val="none"/>
        </w:rPr>
        <w:t>中标</w:t>
      </w:r>
      <w:r>
        <w:rPr>
          <w:rFonts w:hint="eastAsia" w:ascii="Calibri" w:hAnsi="宋体"/>
          <w:b/>
          <w:color w:val="auto"/>
          <w:szCs w:val="21"/>
          <w:highlight w:val="none"/>
        </w:rPr>
        <w:t>单位</w:t>
      </w:r>
      <w:r>
        <w:rPr>
          <w:rFonts w:ascii="Calibri" w:hAnsi="宋体"/>
          <w:b/>
          <w:color w:val="auto"/>
          <w:szCs w:val="21"/>
          <w:highlight w:val="none"/>
        </w:rPr>
        <w:t>的确定</w:t>
      </w:r>
    </w:p>
    <w:p>
      <w:pPr>
        <w:spacing w:line="440" w:lineRule="exact"/>
        <w:ind w:firstLine="422" w:firstLineChars="200"/>
        <w:rPr>
          <w:rFonts w:ascii="宋体" w:hAns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 xml:space="preserve">.1  </w:t>
      </w:r>
      <w:r>
        <w:rPr>
          <w:rFonts w:hint="eastAsia" w:ascii="宋体" w:hAnsi="宋体"/>
          <w:b/>
          <w:bCs/>
          <w:color w:val="auto"/>
          <w:szCs w:val="21"/>
          <w:highlight w:val="none"/>
        </w:rPr>
        <w:t>候选中标供应商推荐</w:t>
      </w:r>
    </w:p>
    <w:p>
      <w:pPr>
        <w:spacing w:line="440" w:lineRule="exact"/>
        <w:ind w:firstLine="435"/>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评标委员会对通过上述检查且最终报价不超过预算控制金额</w:t>
      </w:r>
      <w:r>
        <w:rPr>
          <w:rFonts w:hint="eastAsia" w:ascii="宋体" w:hAnsi="宋体"/>
          <w:color w:val="auto"/>
          <w:szCs w:val="21"/>
          <w:highlight w:val="none"/>
        </w:rPr>
        <w:t>的投标单位进行审查，并</w:t>
      </w:r>
      <w:r>
        <w:rPr>
          <w:rFonts w:ascii="Calibri" w:hAnsi="宋体"/>
          <w:color w:val="auto"/>
          <w:szCs w:val="21"/>
          <w:highlight w:val="none"/>
        </w:rPr>
        <w:t>按投标报价由低到高</w:t>
      </w:r>
      <w:r>
        <w:rPr>
          <w:rFonts w:hint="eastAsia" w:ascii="Calibri" w:hAnsi="宋体"/>
          <w:color w:val="auto"/>
          <w:szCs w:val="21"/>
          <w:highlight w:val="none"/>
        </w:rPr>
        <w:t>排序；</w:t>
      </w:r>
      <w:r>
        <w:rPr>
          <w:rFonts w:ascii="Calibri" w:hAnsi="宋体"/>
          <w:color w:val="auto"/>
          <w:szCs w:val="21"/>
          <w:highlight w:val="none"/>
        </w:rPr>
        <w:t>投标报价相同的，按技术指标优劣顺序排列</w:t>
      </w:r>
      <w:r>
        <w:rPr>
          <w:rFonts w:hint="eastAsia" w:ascii="Calibri" w:hAnsi="宋体"/>
          <w:color w:val="auto"/>
          <w:szCs w:val="21"/>
          <w:highlight w:val="none"/>
        </w:rPr>
        <w:t>；技术指标仍然相同的，则采用抽签方式确定排序，</w:t>
      </w:r>
      <w:r>
        <w:rPr>
          <w:rFonts w:hint="eastAsia" w:asciiTheme="minorEastAsia" w:hAnsiTheme="minorEastAsia" w:eastAsiaTheme="minorEastAsia"/>
          <w:color w:val="auto"/>
          <w:szCs w:val="21"/>
          <w:highlight w:val="none"/>
        </w:rPr>
        <w:t>具体操作办法及流程由评标委员会确定</w:t>
      </w:r>
      <w:r>
        <w:rPr>
          <w:rFonts w:ascii="Calibri" w:hAnsi="宋体"/>
          <w:color w:val="auto"/>
          <w:szCs w:val="21"/>
          <w:highlight w:val="none"/>
        </w:rPr>
        <w:t>。</w:t>
      </w:r>
      <w:r>
        <w:rPr>
          <w:rFonts w:hint="eastAsia" w:ascii="宋体" w:hAnsi="宋体"/>
          <w:color w:val="auto"/>
          <w:szCs w:val="21"/>
          <w:highlight w:val="none"/>
        </w:rPr>
        <w:t>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pPr>
        <w:spacing w:line="440" w:lineRule="exact"/>
        <w:ind w:firstLine="435"/>
        <w:rPr>
          <w:rFonts w:ascii="宋体" w:hAnsi="宋体"/>
          <w:b/>
          <w:bCs/>
          <w:color w:val="auto"/>
          <w:szCs w:val="21"/>
          <w:highlight w:val="none"/>
        </w:rPr>
      </w:pPr>
      <w:r>
        <w:rPr>
          <w:rFonts w:hint="eastAsia" w:ascii="宋体" w:hAnsi="宋体"/>
          <w:bCs/>
          <w:color w:val="auto"/>
          <w:szCs w:val="21"/>
          <w:highlight w:val="none"/>
        </w:rPr>
        <w:t>（2）评标委员会按照上述投标</w:t>
      </w:r>
      <w:r>
        <w:rPr>
          <w:rFonts w:ascii="宋体" w:hAnsi="宋体"/>
          <w:bCs/>
          <w:color w:val="auto"/>
          <w:szCs w:val="21"/>
          <w:highlight w:val="none"/>
        </w:rPr>
        <w:t>报价的</w:t>
      </w:r>
      <w:r>
        <w:rPr>
          <w:rFonts w:hint="eastAsia" w:ascii="宋体" w:hAnsi="宋体"/>
          <w:bCs/>
          <w:color w:val="auto"/>
          <w:szCs w:val="21"/>
          <w:highlight w:val="none"/>
        </w:rPr>
        <w:t>排序结果推荐中标候选供应商，</w:t>
      </w:r>
      <w:r>
        <w:rPr>
          <w:rFonts w:hint="eastAsia" w:ascii="宋体" w:hAnsi="宋体"/>
          <w:color w:val="auto"/>
          <w:szCs w:val="21"/>
          <w:highlight w:val="none"/>
        </w:rPr>
        <w:t>排名前三的投标单位</w:t>
      </w:r>
      <w:r>
        <w:rPr>
          <w:rFonts w:hint="eastAsia" w:ascii="宋体" w:hAnsi="宋体"/>
          <w:bCs/>
          <w:color w:val="auto"/>
          <w:szCs w:val="21"/>
          <w:highlight w:val="none"/>
        </w:rPr>
        <w:t>作为推荐的候选中标供应商。</w:t>
      </w:r>
    </w:p>
    <w:p>
      <w:pPr>
        <w:spacing w:line="440" w:lineRule="exact"/>
        <w:ind w:firstLine="435"/>
        <w:rPr>
          <w:rFonts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 xml:space="preserve">.2  </w:t>
      </w:r>
      <w:r>
        <w:rPr>
          <w:rFonts w:hint="eastAsia" w:ascii="宋体" w:hAnsi="宋体"/>
          <w:b/>
          <w:color w:val="auto"/>
          <w:szCs w:val="21"/>
          <w:highlight w:val="none"/>
        </w:rPr>
        <w:t>定标</w:t>
      </w:r>
    </w:p>
    <w:p>
      <w:pPr>
        <w:spacing w:line="440" w:lineRule="exact"/>
        <w:ind w:firstLine="435"/>
        <w:rPr>
          <w:rFonts w:ascii="宋体" w:hAnsi="宋体"/>
          <w:color w:val="auto"/>
          <w:szCs w:val="21"/>
          <w:highlight w:val="none"/>
        </w:rPr>
      </w:pPr>
      <w:r>
        <w:rPr>
          <w:rFonts w:ascii="宋体" w:hAnsi="宋体"/>
          <w:color w:val="auto"/>
          <w:szCs w:val="21"/>
          <w:highlight w:val="none"/>
        </w:rPr>
        <w:t>采购方授权评标委员会确定中标单位，</w:t>
      </w:r>
      <w:r>
        <w:rPr>
          <w:rFonts w:hint="eastAsia" w:ascii="宋体" w:hAnsi="宋体"/>
          <w:color w:val="auto"/>
          <w:szCs w:val="21"/>
          <w:highlight w:val="none"/>
        </w:rPr>
        <w:t>确定</w:t>
      </w:r>
      <w:r>
        <w:rPr>
          <w:rFonts w:ascii="宋体" w:hAnsi="宋体"/>
          <w:color w:val="auto"/>
          <w:szCs w:val="21"/>
          <w:highlight w:val="none"/>
        </w:rPr>
        <w:t>投标</w:t>
      </w:r>
      <w:r>
        <w:rPr>
          <w:rFonts w:hint="eastAsia" w:ascii="宋体" w:hAnsi="宋体"/>
          <w:color w:val="auto"/>
          <w:szCs w:val="21"/>
          <w:highlight w:val="none"/>
        </w:rPr>
        <w:t>报价</w:t>
      </w:r>
      <w:r>
        <w:rPr>
          <w:rFonts w:ascii="宋体" w:hAnsi="宋体"/>
          <w:color w:val="auto"/>
          <w:szCs w:val="21"/>
          <w:highlight w:val="none"/>
        </w:rPr>
        <w:t>最低</w:t>
      </w:r>
      <w:r>
        <w:rPr>
          <w:rFonts w:hint="eastAsia" w:ascii="宋体" w:hAnsi="宋体"/>
          <w:color w:val="auto"/>
          <w:szCs w:val="21"/>
          <w:highlight w:val="none"/>
        </w:rPr>
        <w:t>且</w:t>
      </w:r>
      <w:r>
        <w:rPr>
          <w:rFonts w:ascii="宋体" w:hAnsi="宋体"/>
          <w:color w:val="auto"/>
          <w:szCs w:val="21"/>
          <w:highlight w:val="none"/>
        </w:rPr>
        <w:t>排名第一的投标供应商为中标</w:t>
      </w:r>
      <w:r>
        <w:rPr>
          <w:rFonts w:hint="eastAsia" w:ascii="宋体" w:hAnsi="宋体"/>
          <w:color w:val="auto"/>
          <w:szCs w:val="21"/>
          <w:highlight w:val="none"/>
        </w:rPr>
        <w:t>单位。</w:t>
      </w:r>
    </w:p>
    <w:p>
      <w:pPr>
        <w:spacing w:line="440" w:lineRule="exact"/>
        <w:ind w:firstLine="422" w:firstLineChars="200"/>
        <w:rPr>
          <w:b/>
          <w:color w:val="auto"/>
          <w:highlight w:val="none"/>
        </w:rPr>
      </w:pPr>
      <w:r>
        <w:rPr>
          <w:rFonts w:hint="eastAsia"/>
          <w:b/>
          <w:color w:val="auto"/>
          <w:highlight w:val="none"/>
        </w:rPr>
        <w:t>（二）评标和定标分离的方式</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1、</w:t>
      </w:r>
      <w:r>
        <w:rPr>
          <w:rFonts w:ascii="宋体" w:hAnsi="宋体"/>
          <w:b/>
          <w:color w:val="auto"/>
          <w:szCs w:val="21"/>
          <w:highlight w:val="none"/>
        </w:rPr>
        <w:t>符合性检查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ascii="宋体" w:hAnsi="宋体"/>
          <w:bCs/>
          <w:color w:val="auto"/>
          <w:szCs w:val="21"/>
          <w:highlight w:val="none"/>
        </w:rPr>
        <w:t>评标委员会根据</w:t>
      </w:r>
      <w:r>
        <w:rPr>
          <w:rFonts w:hint="eastAsia" w:ascii="宋体" w:hAnsi="宋体"/>
          <w:bCs/>
          <w:color w:val="auto"/>
          <w:szCs w:val="21"/>
          <w:highlight w:val="none"/>
        </w:rPr>
        <w:t>《</w:t>
      </w:r>
      <w:r>
        <w:rPr>
          <w:rFonts w:ascii="宋体" w:hAnsi="宋体"/>
          <w:bCs/>
          <w:color w:val="auto"/>
          <w:szCs w:val="21"/>
          <w:highlight w:val="none"/>
        </w:rPr>
        <w:t>符合性检查表》的内容和标准，对所有</w:t>
      </w:r>
      <w:r>
        <w:rPr>
          <w:rFonts w:hint="eastAsia" w:ascii="宋体" w:hAnsi="宋体"/>
          <w:bCs/>
          <w:color w:val="auto"/>
          <w:szCs w:val="21"/>
          <w:highlight w:val="none"/>
        </w:rPr>
        <w:t>通过资格性核查的</w:t>
      </w:r>
      <w:r>
        <w:rPr>
          <w:rFonts w:ascii="宋体" w:hAnsi="宋体"/>
          <w:bCs/>
          <w:color w:val="auto"/>
          <w:szCs w:val="21"/>
          <w:highlight w:val="none"/>
        </w:rPr>
        <w:t>投标</w:t>
      </w:r>
      <w:r>
        <w:rPr>
          <w:rFonts w:hint="eastAsia" w:ascii="宋体" w:hAnsi="宋体"/>
          <w:bCs/>
          <w:color w:val="auto"/>
          <w:szCs w:val="21"/>
          <w:highlight w:val="none"/>
        </w:rPr>
        <w:t>文件</w:t>
      </w:r>
      <w:r>
        <w:rPr>
          <w:rFonts w:ascii="宋体" w:hAnsi="宋体"/>
          <w:bCs/>
          <w:color w:val="auto"/>
          <w:szCs w:val="21"/>
          <w:highlight w:val="none"/>
        </w:rPr>
        <w:t>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符合性检查的对象是投标人提交的投标文件，评标委员会只就投标文件中所载明的情况进行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Calibri" w:hAnsi="Calibri"/>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符</w:t>
      </w:r>
      <w:r>
        <w:rPr>
          <w:rFonts w:ascii="Calibri" w:hAnsi="宋体"/>
          <w:color w:val="auto"/>
          <w:szCs w:val="21"/>
          <w:highlight w:val="none"/>
        </w:rPr>
        <w:t>合性检查的结果是</w:t>
      </w:r>
      <w:r>
        <w:rPr>
          <w:rFonts w:ascii="Calibri" w:hAnsi="Calibri"/>
          <w:color w:val="auto"/>
          <w:szCs w:val="21"/>
          <w:highlight w:val="none"/>
        </w:rPr>
        <w:t>“</w:t>
      </w:r>
      <w:r>
        <w:rPr>
          <w:rFonts w:ascii="Calibri" w:hAnsi="宋体"/>
          <w:color w:val="auto"/>
          <w:szCs w:val="21"/>
          <w:highlight w:val="none"/>
        </w:rPr>
        <w:t>通过</w:t>
      </w:r>
      <w:r>
        <w:rPr>
          <w:rFonts w:ascii="Calibri" w:hAnsi="Calibri"/>
          <w:color w:val="auto"/>
          <w:szCs w:val="21"/>
          <w:highlight w:val="none"/>
        </w:rPr>
        <w:t>”</w:t>
      </w:r>
      <w:r>
        <w:rPr>
          <w:rFonts w:ascii="Calibri" w:hAnsi="宋体"/>
          <w:color w:val="auto"/>
          <w:szCs w:val="21"/>
          <w:highlight w:val="none"/>
        </w:rPr>
        <w:t>或</w:t>
      </w:r>
      <w:r>
        <w:rPr>
          <w:rFonts w:ascii="Calibri" w:hAnsi="Calibri"/>
          <w:color w:val="auto"/>
          <w:szCs w:val="21"/>
          <w:highlight w:val="none"/>
        </w:rPr>
        <w:t>“</w:t>
      </w:r>
      <w:r>
        <w:rPr>
          <w:rFonts w:ascii="Calibri" w:hAnsi="宋体"/>
          <w:color w:val="auto"/>
          <w:szCs w:val="21"/>
          <w:highlight w:val="none"/>
        </w:rPr>
        <w:t>不通过</w:t>
      </w:r>
      <w:r>
        <w:rPr>
          <w:rFonts w:ascii="Calibri" w:hAnsi="Calibri"/>
          <w:color w:val="auto"/>
          <w:szCs w:val="21"/>
          <w:highlight w:val="none"/>
        </w:rPr>
        <w:t>”</w:t>
      </w:r>
      <w:r>
        <w:rPr>
          <w:rFonts w:ascii="Calibri" w:hAnsi="宋体"/>
          <w:color w:val="auto"/>
          <w:szCs w:val="21"/>
          <w:highlight w:val="none"/>
        </w:rPr>
        <w:t>，只有逐条通过</w:t>
      </w:r>
      <w:r>
        <w:rPr>
          <w:rFonts w:ascii="宋体" w:hAnsi="宋体"/>
          <w:bCs/>
          <w:color w:val="auto"/>
          <w:szCs w:val="21"/>
          <w:highlight w:val="none"/>
        </w:rPr>
        <w:t>《符合性检查表》</w:t>
      </w:r>
      <w:r>
        <w:rPr>
          <w:rFonts w:ascii="Calibri" w:hAnsi="宋体"/>
          <w:color w:val="auto"/>
          <w:szCs w:val="21"/>
          <w:highlight w:val="none"/>
        </w:rPr>
        <w:t>各项检查的投标方能进入下一阶段的评标，否则将导致其投标被废标。</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商务</w:t>
      </w:r>
      <w:r>
        <w:rPr>
          <w:rFonts w:hint="eastAsia" w:ascii="宋体" w:hAnsi="宋体"/>
          <w:b/>
          <w:color w:val="auto"/>
          <w:szCs w:val="21"/>
          <w:highlight w:val="none"/>
        </w:rPr>
        <w:t>、</w:t>
      </w:r>
      <w:r>
        <w:rPr>
          <w:rFonts w:ascii="宋体" w:hAnsi="宋体"/>
          <w:b/>
          <w:color w:val="auto"/>
          <w:szCs w:val="21"/>
          <w:highlight w:val="none"/>
        </w:rPr>
        <w:t>技术及价格评议</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评标委员会根据《</w:t>
      </w:r>
      <w:r>
        <w:rPr>
          <w:rFonts w:hint="eastAsia" w:ascii="宋体" w:hAnsi="宋体"/>
          <w:color w:val="auto"/>
          <w:szCs w:val="21"/>
          <w:highlight w:val="none"/>
        </w:rPr>
        <w:t>评分表</w:t>
      </w:r>
      <w:r>
        <w:rPr>
          <w:rFonts w:ascii="宋体" w:hAnsi="宋体"/>
          <w:color w:val="auto"/>
          <w:szCs w:val="21"/>
          <w:highlight w:val="none"/>
        </w:rPr>
        <w:t>》的内容和标准，对通过</w:t>
      </w:r>
      <w:r>
        <w:rPr>
          <w:rFonts w:hint="eastAsia" w:ascii="宋体" w:hAnsi="宋体"/>
          <w:bCs/>
          <w:color w:val="auto"/>
          <w:szCs w:val="21"/>
          <w:highlight w:val="none"/>
        </w:rPr>
        <w:t>资格性和</w:t>
      </w:r>
      <w:r>
        <w:rPr>
          <w:rFonts w:ascii="宋体" w:hAnsi="宋体"/>
          <w:bCs/>
          <w:color w:val="auto"/>
          <w:szCs w:val="21"/>
          <w:highlight w:val="none"/>
        </w:rPr>
        <w:t>符合性</w:t>
      </w:r>
      <w:r>
        <w:rPr>
          <w:rFonts w:ascii="宋体" w:hAnsi="宋体"/>
          <w:color w:val="auto"/>
          <w:szCs w:val="21"/>
          <w:highlight w:val="none"/>
        </w:rPr>
        <w:t>检查的投标进行商务</w:t>
      </w:r>
      <w:r>
        <w:rPr>
          <w:rFonts w:hint="eastAsia" w:ascii="宋体" w:hAnsi="宋体"/>
          <w:color w:val="auto"/>
          <w:szCs w:val="21"/>
          <w:highlight w:val="none"/>
        </w:rPr>
        <w:t>、</w:t>
      </w:r>
      <w:r>
        <w:rPr>
          <w:rFonts w:ascii="宋体" w:hAnsi="宋体"/>
          <w:color w:val="auto"/>
          <w:szCs w:val="21"/>
          <w:highlight w:val="none"/>
        </w:rPr>
        <w:t>技术</w:t>
      </w:r>
      <w:r>
        <w:rPr>
          <w:rFonts w:hint="eastAsia" w:ascii="宋体" w:hAnsi="宋体"/>
          <w:color w:val="auto"/>
          <w:szCs w:val="21"/>
          <w:highlight w:val="none"/>
        </w:rPr>
        <w:t>及价格</w:t>
      </w:r>
      <w:r>
        <w:rPr>
          <w:rFonts w:ascii="宋体" w:hAnsi="宋体"/>
          <w:color w:val="auto"/>
          <w:szCs w:val="21"/>
          <w:highlight w:val="none"/>
        </w:rPr>
        <w:t>评议。</w:t>
      </w:r>
    </w:p>
    <w:p>
      <w:pPr>
        <w:spacing w:line="440" w:lineRule="exact"/>
        <w:ind w:firstLine="420" w:firstLineChars="200"/>
        <w:rPr>
          <w:rFonts w:ascii="Calibri" w:hAnsi="Calibri"/>
          <w:color w:val="auto"/>
          <w:szCs w:val="21"/>
          <w:highlight w:val="none"/>
        </w:rPr>
      </w:pPr>
      <w:r>
        <w:rPr>
          <w:rFonts w:hint="eastAsia" w:ascii="宋体" w:hAnsi="宋体"/>
          <w:color w:val="auto"/>
          <w:szCs w:val="21"/>
          <w:highlight w:val="none"/>
        </w:rPr>
        <w:t>（2）</w:t>
      </w:r>
      <w:r>
        <w:rPr>
          <w:rFonts w:ascii="宋体" w:hAnsi="宋体"/>
          <w:color w:val="auto"/>
          <w:szCs w:val="21"/>
          <w:highlight w:val="none"/>
        </w:rPr>
        <w:t>评</w:t>
      </w:r>
      <w:r>
        <w:rPr>
          <w:rFonts w:ascii="Calibri" w:hAnsi="宋体"/>
          <w:color w:val="auto"/>
          <w:szCs w:val="21"/>
          <w:highlight w:val="none"/>
        </w:rPr>
        <w:t>标委员会将对照招标文件中的商务、技术需求条款和投标文件中的商务、技术条款响应进行评议</w:t>
      </w:r>
      <w:r>
        <w:rPr>
          <w:rFonts w:hint="eastAsia" w:ascii="Calibri" w:hAnsi="宋体"/>
          <w:color w:val="auto"/>
          <w:szCs w:val="21"/>
          <w:highlight w:val="none"/>
        </w:rPr>
        <w:t>；</w:t>
      </w:r>
      <w:r>
        <w:rPr>
          <w:rFonts w:ascii="Calibri" w:hAnsi="宋体"/>
          <w:color w:val="auto"/>
          <w:szCs w:val="21"/>
          <w:highlight w:val="none"/>
        </w:rPr>
        <w:t>评标委员会成员将按照《</w:t>
      </w:r>
      <w:r>
        <w:rPr>
          <w:rFonts w:hint="eastAsia" w:ascii="Calibri" w:hAnsi="宋体"/>
          <w:color w:val="auto"/>
          <w:szCs w:val="21"/>
          <w:highlight w:val="none"/>
        </w:rPr>
        <w:t>评分表</w:t>
      </w:r>
      <w:r>
        <w:rPr>
          <w:rFonts w:ascii="Calibri" w:hAnsi="宋体"/>
          <w:color w:val="auto"/>
          <w:szCs w:val="21"/>
          <w:highlight w:val="none"/>
        </w:rPr>
        <w:t>》确定的</w:t>
      </w:r>
      <w:r>
        <w:rPr>
          <w:rFonts w:hint="eastAsia" w:ascii="Calibri" w:hAnsi="宋体"/>
          <w:color w:val="auto"/>
          <w:szCs w:val="21"/>
          <w:highlight w:val="none"/>
        </w:rPr>
        <w:t>分值</w:t>
      </w:r>
      <w:r>
        <w:rPr>
          <w:rFonts w:ascii="Calibri" w:hAnsi="宋体"/>
          <w:color w:val="auto"/>
          <w:szCs w:val="21"/>
          <w:highlight w:val="none"/>
        </w:rPr>
        <w:t>独立对每个投标的商务</w:t>
      </w:r>
      <w:r>
        <w:rPr>
          <w:rFonts w:hint="eastAsia" w:ascii="Calibri" w:hAnsi="宋体"/>
          <w:color w:val="auto"/>
          <w:szCs w:val="21"/>
          <w:highlight w:val="none"/>
        </w:rPr>
        <w:t>、</w:t>
      </w:r>
      <w:r>
        <w:rPr>
          <w:rFonts w:ascii="Calibri" w:hAnsi="宋体"/>
          <w:color w:val="auto"/>
          <w:szCs w:val="21"/>
          <w:highlight w:val="none"/>
        </w:rPr>
        <w:t>技术</w:t>
      </w:r>
      <w:r>
        <w:rPr>
          <w:rFonts w:hint="eastAsia" w:ascii="Calibri" w:hAnsi="宋体"/>
          <w:color w:val="auto"/>
          <w:szCs w:val="21"/>
          <w:highlight w:val="none"/>
        </w:rPr>
        <w:t>及价格</w:t>
      </w:r>
      <w:r>
        <w:rPr>
          <w:rFonts w:ascii="Calibri" w:hAnsi="宋体"/>
          <w:color w:val="auto"/>
          <w:szCs w:val="21"/>
          <w:highlight w:val="none"/>
        </w:rPr>
        <w:t>部分以打分的方式进行评议。</w:t>
      </w:r>
    </w:p>
    <w:p>
      <w:pPr>
        <w:spacing w:line="440" w:lineRule="exact"/>
        <w:ind w:firstLine="422" w:firstLineChars="200"/>
        <w:rPr>
          <w:rFonts w:ascii="Calibri" w:hAnsi="Calibri"/>
          <w:b/>
          <w:color w:val="auto"/>
          <w:szCs w:val="21"/>
          <w:highlight w:val="none"/>
        </w:rPr>
      </w:pPr>
      <w:r>
        <w:rPr>
          <w:rFonts w:hint="eastAsia" w:ascii="宋体" w:hAnsi="宋体"/>
          <w:b/>
          <w:color w:val="auto"/>
          <w:szCs w:val="21"/>
          <w:highlight w:val="none"/>
        </w:rPr>
        <w:t>3、</w:t>
      </w:r>
      <w:r>
        <w:rPr>
          <w:rFonts w:ascii="Calibri" w:hAnsi="宋体"/>
          <w:b/>
          <w:color w:val="auto"/>
          <w:szCs w:val="21"/>
          <w:highlight w:val="none"/>
        </w:rPr>
        <w:t>中标</w:t>
      </w:r>
      <w:r>
        <w:rPr>
          <w:rFonts w:hint="eastAsia" w:ascii="Calibri" w:hAnsi="宋体"/>
          <w:b/>
          <w:color w:val="auto"/>
          <w:szCs w:val="21"/>
          <w:highlight w:val="none"/>
        </w:rPr>
        <w:t>单位</w:t>
      </w:r>
      <w:r>
        <w:rPr>
          <w:rFonts w:ascii="Calibri" w:hAnsi="宋体"/>
          <w:b/>
          <w:color w:val="auto"/>
          <w:szCs w:val="21"/>
          <w:highlight w:val="none"/>
        </w:rPr>
        <w:t>的确定</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 xml:space="preserve">3.1  </w:t>
      </w:r>
      <w:r>
        <w:rPr>
          <w:rFonts w:hint="eastAsia" w:ascii="宋体" w:hAnsi="宋体"/>
          <w:b/>
          <w:bCs/>
          <w:color w:val="auto"/>
          <w:szCs w:val="21"/>
          <w:highlight w:val="none"/>
        </w:rPr>
        <w:t>候选中标供应商推荐</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（1）每个投标单位的评标总得分以</w:t>
      </w:r>
      <w:r>
        <w:rPr>
          <w:rFonts w:hint="eastAsia" w:ascii="宋体" w:hAnsi="宋体"/>
          <w:color w:val="auto"/>
          <w:szCs w:val="21"/>
          <w:highlight w:val="none"/>
        </w:rPr>
        <w:t>所有评标委员会成员的独立评分汇总</w:t>
      </w:r>
      <w:r>
        <w:rPr>
          <w:rFonts w:hint="eastAsia" w:ascii="宋体" w:hAnsi="宋体"/>
          <w:bCs/>
          <w:color w:val="auto"/>
          <w:szCs w:val="21"/>
          <w:highlight w:val="none"/>
        </w:rPr>
        <w:t>后确定，</w:t>
      </w:r>
      <w:r>
        <w:rPr>
          <w:rFonts w:ascii="宋体" w:hAnsi="宋体"/>
          <w:bCs/>
          <w:color w:val="auto"/>
          <w:szCs w:val="21"/>
          <w:highlight w:val="none"/>
        </w:rPr>
        <w:t>评标总得分相同的，按投标报价由低到高顺序排列；评标总得分且投标报价相同的，按技术指标</w:t>
      </w:r>
      <w:r>
        <w:rPr>
          <w:rFonts w:hint="eastAsia" w:ascii="宋体" w:hAnsi="宋体"/>
          <w:bCs/>
          <w:color w:val="auto"/>
          <w:szCs w:val="21"/>
          <w:highlight w:val="none"/>
        </w:rPr>
        <w:t>（技术部分）</w:t>
      </w:r>
      <w:r>
        <w:rPr>
          <w:rFonts w:ascii="宋体" w:hAnsi="宋体"/>
          <w:bCs/>
          <w:color w:val="auto"/>
          <w:szCs w:val="21"/>
          <w:highlight w:val="none"/>
        </w:rPr>
        <w:t>得分优劣顺序排列</w:t>
      </w:r>
      <w:r>
        <w:rPr>
          <w:rFonts w:hint="eastAsia" w:ascii="Calibri" w:hAnsi="宋体"/>
          <w:color w:val="auto"/>
          <w:szCs w:val="21"/>
          <w:highlight w:val="none"/>
        </w:rPr>
        <w:t>；如</w:t>
      </w:r>
      <w:r>
        <w:rPr>
          <w:rFonts w:ascii="Calibri" w:hAnsi="宋体"/>
          <w:color w:val="auto"/>
          <w:szCs w:val="21"/>
          <w:highlight w:val="none"/>
        </w:rPr>
        <w:t>技术指标</w:t>
      </w:r>
      <w:r>
        <w:rPr>
          <w:rFonts w:hint="eastAsia" w:ascii="Calibri" w:hAnsi="宋体"/>
          <w:color w:val="auto"/>
          <w:szCs w:val="21"/>
          <w:highlight w:val="none"/>
        </w:rPr>
        <w:t>（技术部分）</w:t>
      </w:r>
      <w:r>
        <w:rPr>
          <w:rFonts w:ascii="Calibri" w:hAnsi="宋体"/>
          <w:color w:val="auto"/>
          <w:szCs w:val="21"/>
          <w:highlight w:val="none"/>
        </w:rPr>
        <w:t>得分</w:t>
      </w:r>
      <w:r>
        <w:rPr>
          <w:rFonts w:hint="eastAsia" w:ascii="Calibri" w:hAnsi="宋体"/>
          <w:color w:val="auto"/>
          <w:szCs w:val="21"/>
          <w:highlight w:val="none"/>
        </w:rPr>
        <w:t>仍然相同的，则采用抽签方式确定排序，</w:t>
      </w:r>
      <w:r>
        <w:rPr>
          <w:rFonts w:hint="eastAsia" w:asciiTheme="minorEastAsia" w:hAnsiTheme="minorEastAsia" w:eastAsiaTheme="minorEastAsia"/>
          <w:color w:val="auto"/>
          <w:szCs w:val="21"/>
          <w:highlight w:val="none"/>
        </w:rPr>
        <w:t>具体操作办法及流程由评标委员会确定</w:t>
      </w:r>
      <w:r>
        <w:rPr>
          <w:rFonts w:ascii="宋体" w:hAnsi="宋体"/>
          <w:bCs/>
          <w:color w:val="auto"/>
          <w:szCs w:val="21"/>
          <w:highlight w:val="none"/>
        </w:rPr>
        <w:t>。</w:t>
      </w:r>
    </w:p>
    <w:p>
      <w:pPr>
        <w:spacing w:line="440" w:lineRule="exact"/>
        <w:ind w:firstLine="420" w:firstLineChars="200"/>
        <w:rPr>
          <w:color w:val="auto"/>
          <w:szCs w:val="21"/>
          <w:highlight w:val="none"/>
        </w:rPr>
      </w:pPr>
      <w:r>
        <w:rPr>
          <w:rFonts w:hint="eastAsia" w:ascii="宋体" w:hAnsi="宋体"/>
          <w:bCs/>
          <w:color w:val="auto"/>
          <w:szCs w:val="21"/>
          <w:highlight w:val="none"/>
        </w:rPr>
        <w:t>（2）评标委员会按照综合评分的排名结果推荐中标候选供应商，</w:t>
      </w:r>
      <w:r>
        <w:rPr>
          <w:rFonts w:hint="eastAsia" w:ascii="宋体" w:hAnsi="宋体"/>
          <w:color w:val="auto"/>
          <w:szCs w:val="21"/>
          <w:highlight w:val="none"/>
        </w:rPr>
        <w:t>排名前三的投标单位</w:t>
      </w:r>
      <w:r>
        <w:rPr>
          <w:rFonts w:hint="eastAsia" w:ascii="宋体" w:hAnsi="宋体"/>
          <w:bCs/>
          <w:color w:val="auto"/>
          <w:szCs w:val="21"/>
          <w:highlight w:val="none"/>
        </w:rPr>
        <w:t>作为推荐的候选中标供应商（排名不分先后）。</w:t>
      </w:r>
    </w:p>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3.2  定标</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采购单位从评标委员会推荐的候选中标供应商中，</w:t>
      </w:r>
      <w:r>
        <w:rPr>
          <w:rFonts w:ascii="宋体" w:hAnsi="宋体"/>
          <w:bCs/>
          <w:color w:val="auto"/>
          <w:szCs w:val="21"/>
          <w:highlight w:val="none"/>
        </w:rPr>
        <w:t>采用</w:t>
      </w:r>
      <w:r>
        <w:rPr>
          <w:rFonts w:ascii="宋体" w:hAnsi="宋体"/>
          <w:b/>
          <w:bCs/>
          <w:color w:val="auto"/>
          <w:szCs w:val="21"/>
          <w:highlight w:val="none"/>
        </w:rPr>
        <w:t>自定法</w:t>
      </w:r>
      <w:r>
        <w:rPr>
          <w:rFonts w:hint="eastAsia" w:ascii="宋体" w:hAnsi="宋体"/>
          <w:bCs/>
          <w:color w:val="auto"/>
          <w:szCs w:val="21"/>
          <w:highlight w:val="none"/>
        </w:rPr>
        <w:t>自行选择确定一名中标单位，具体操作程序按照《深圳市政府采购评标定标分离管理办法》要求执行。</w:t>
      </w:r>
    </w:p>
    <w:p>
      <w:pPr>
        <w:spacing w:line="440" w:lineRule="exact"/>
        <w:ind w:firstLine="386" w:firstLineChars="183"/>
        <w:rPr>
          <w:rFonts w:ascii="宋体" w:hAnsi="宋体"/>
          <w:b/>
          <w:color w:val="auto"/>
          <w:szCs w:val="21"/>
          <w:highlight w:val="none"/>
        </w:rPr>
      </w:pPr>
      <w:r>
        <w:rPr>
          <w:rFonts w:hint="eastAsia" w:ascii="宋体" w:hAnsi="宋体"/>
          <w:b/>
          <w:color w:val="auto"/>
          <w:szCs w:val="21"/>
          <w:highlight w:val="none"/>
        </w:rPr>
        <w:t>4、质疑投诉处理：</w:t>
      </w:r>
      <w:r>
        <w:rPr>
          <w:rFonts w:hint="eastAsia" w:ascii="宋体" w:hAnsi="宋体"/>
          <w:color w:val="auto"/>
          <w:szCs w:val="21"/>
          <w:highlight w:val="none"/>
        </w:rPr>
        <w:t>确定中标单位后出现质疑投诉的，按照以下程序进行处理：（1）中标单位因质疑、投诉等问题被取消或</w:t>
      </w:r>
      <w:r>
        <w:rPr>
          <w:rFonts w:ascii="宋体" w:hAnsi="宋体"/>
          <w:color w:val="auto"/>
          <w:szCs w:val="21"/>
          <w:highlight w:val="none"/>
        </w:rPr>
        <w:t>放弃</w:t>
      </w:r>
      <w:r>
        <w:rPr>
          <w:rFonts w:hint="eastAsia" w:ascii="宋体" w:hAnsi="宋体"/>
          <w:color w:val="auto"/>
          <w:szCs w:val="21"/>
          <w:highlight w:val="none"/>
        </w:rPr>
        <w:t>候选中标资格，候选</w:t>
      </w:r>
      <w:r>
        <w:rPr>
          <w:rFonts w:ascii="宋体" w:hAnsi="宋体"/>
          <w:color w:val="auto"/>
          <w:szCs w:val="21"/>
          <w:highlight w:val="none"/>
        </w:rPr>
        <w:t>中标</w:t>
      </w:r>
      <w:r>
        <w:rPr>
          <w:rFonts w:hint="eastAsia" w:ascii="宋体" w:hAnsi="宋体"/>
          <w:color w:val="auto"/>
          <w:szCs w:val="21"/>
          <w:highlight w:val="none"/>
        </w:rPr>
        <w:t>供应商</w:t>
      </w:r>
      <w:r>
        <w:rPr>
          <w:rFonts w:ascii="宋体" w:hAnsi="宋体"/>
          <w:color w:val="auto"/>
          <w:szCs w:val="21"/>
          <w:highlight w:val="none"/>
        </w:rPr>
        <w:t>不再</w:t>
      </w:r>
      <w:r>
        <w:rPr>
          <w:rFonts w:hint="eastAsia" w:ascii="宋体" w:hAnsi="宋体"/>
          <w:color w:val="auto"/>
          <w:szCs w:val="21"/>
          <w:highlight w:val="none"/>
        </w:rPr>
        <w:t>替补</w:t>
      </w:r>
      <w:r>
        <w:rPr>
          <w:rFonts w:ascii="宋体" w:hAnsi="宋体"/>
          <w:color w:val="auto"/>
          <w:szCs w:val="21"/>
          <w:highlight w:val="none"/>
        </w:rPr>
        <w:t>，</w:t>
      </w:r>
      <w:r>
        <w:rPr>
          <w:rFonts w:hint="eastAsia" w:ascii="宋体" w:hAnsi="宋体"/>
          <w:color w:val="auto"/>
          <w:szCs w:val="21"/>
          <w:highlight w:val="none"/>
        </w:rPr>
        <w:t>如有效</w:t>
      </w:r>
      <w:r>
        <w:rPr>
          <w:rFonts w:ascii="宋体" w:hAnsi="宋体"/>
          <w:color w:val="auto"/>
          <w:szCs w:val="21"/>
          <w:highlight w:val="none"/>
        </w:rPr>
        <w:t>投标</w:t>
      </w:r>
      <w:r>
        <w:rPr>
          <w:rFonts w:hint="eastAsia" w:ascii="宋体" w:hAnsi="宋体"/>
          <w:color w:val="auto"/>
          <w:szCs w:val="21"/>
          <w:highlight w:val="none"/>
        </w:rPr>
        <w:t>供应商满足</w:t>
      </w:r>
      <w:r>
        <w:rPr>
          <w:rFonts w:ascii="宋体" w:hAnsi="宋体"/>
          <w:color w:val="auto"/>
          <w:szCs w:val="21"/>
          <w:highlight w:val="none"/>
        </w:rPr>
        <w:t>法定数量</w:t>
      </w:r>
      <w:r>
        <w:rPr>
          <w:rFonts w:hint="eastAsia" w:ascii="宋体" w:hAnsi="宋体"/>
          <w:color w:val="auto"/>
          <w:szCs w:val="21"/>
          <w:highlight w:val="none"/>
        </w:rPr>
        <w:t>，可按</w:t>
      </w:r>
      <w:r>
        <w:rPr>
          <w:rFonts w:ascii="宋体" w:hAnsi="宋体"/>
          <w:color w:val="auto"/>
          <w:szCs w:val="21"/>
          <w:highlight w:val="none"/>
        </w:rPr>
        <w:t>相关规定</w:t>
      </w:r>
      <w:r>
        <w:rPr>
          <w:rFonts w:hint="eastAsia" w:ascii="宋体" w:hAnsi="宋体"/>
          <w:color w:val="auto"/>
          <w:szCs w:val="21"/>
          <w:highlight w:val="none"/>
        </w:rPr>
        <w:t>在</w:t>
      </w:r>
      <w:r>
        <w:rPr>
          <w:rFonts w:ascii="宋体" w:hAnsi="宋体"/>
          <w:color w:val="auto"/>
          <w:szCs w:val="21"/>
          <w:highlight w:val="none"/>
        </w:rPr>
        <w:t>其他</w:t>
      </w:r>
      <w:r>
        <w:rPr>
          <w:rFonts w:hint="eastAsia" w:ascii="宋体" w:hAnsi="宋体"/>
          <w:color w:val="auto"/>
          <w:szCs w:val="21"/>
          <w:highlight w:val="none"/>
        </w:rPr>
        <w:t>候选</w:t>
      </w:r>
      <w:r>
        <w:rPr>
          <w:rFonts w:ascii="宋体" w:hAnsi="宋体"/>
          <w:color w:val="auto"/>
          <w:szCs w:val="21"/>
          <w:highlight w:val="none"/>
        </w:rPr>
        <w:t>中标</w:t>
      </w:r>
      <w:r>
        <w:rPr>
          <w:rFonts w:hint="eastAsia" w:ascii="宋体" w:hAnsi="宋体"/>
          <w:color w:val="auto"/>
          <w:szCs w:val="21"/>
          <w:highlight w:val="none"/>
        </w:rPr>
        <w:t>供应商中另行</w:t>
      </w:r>
      <w:r>
        <w:rPr>
          <w:rFonts w:ascii="宋体" w:hAnsi="宋体"/>
          <w:color w:val="auto"/>
          <w:szCs w:val="21"/>
          <w:highlight w:val="none"/>
        </w:rPr>
        <w:t>确定中标</w:t>
      </w:r>
      <w:r>
        <w:rPr>
          <w:rFonts w:hint="eastAsia" w:ascii="宋体" w:hAnsi="宋体"/>
          <w:color w:val="auto"/>
          <w:szCs w:val="21"/>
          <w:highlight w:val="none"/>
        </w:rPr>
        <w:t>单位</w:t>
      </w:r>
      <w:r>
        <w:rPr>
          <w:rFonts w:ascii="宋体" w:hAnsi="宋体"/>
          <w:color w:val="auto"/>
          <w:szCs w:val="21"/>
          <w:highlight w:val="none"/>
        </w:rPr>
        <w:t>，或者</w:t>
      </w:r>
      <w:r>
        <w:rPr>
          <w:rFonts w:hint="eastAsia" w:ascii="宋体" w:hAnsi="宋体"/>
          <w:color w:val="auto"/>
          <w:szCs w:val="21"/>
          <w:highlight w:val="none"/>
        </w:rPr>
        <w:t>重新组织招标；（2）候选中标供应商因质疑、投诉等问题被取消候选中标资格，如有效</w:t>
      </w:r>
      <w:r>
        <w:rPr>
          <w:rFonts w:ascii="宋体" w:hAnsi="宋体"/>
          <w:color w:val="auto"/>
          <w:szCs w:val="21"/>
          <w:highlight w:val="none"/>
        </w:rPr>
        <w:t>投标</w:t>
      </w:r>
      <w:r>
        <w:rPr>
          <w:rFonts w:hint="eastAsia" w:ascii="宋体" w:hAnsi="宋体"/>
          <w:color w:val="auto"/>
          <w:szCs w:val="21"/>
          <w:highlight w:val="none"/>
        </w:rPr>
        <w:t>供应商满足</w:t>
      </w:r>
      <w:r>
        <w:rPr>
          <w:rFonts w:ascii="宋体" w:hAnsi="宋体"/>
          <w:color w:val="auto"/>
          <w:szCs w:val="21"/>
          <w:highlight w:val="none"/>
        </w:rPr>
        <w:t>法定数量</w:t>
      </w:r>
      <w:r>
        <w:rPr>
          <w:rFonts w:hint="eastAsia" w:ascii="宋体" w:hAnsi="宋体"/>
          <w:color w:val="auto"/>
          <w:szCs w:val="21"/>
          <w:highlight w:val="none"/>
        </w:rPr>
        <w:t>，则维持原中标结果；如有效</w:t>
      </w:r>
      <w:r>
        <w:rPr>
          <w:rFonts w:ascii="宋体" w:hAnsi="宋体"/>
          <w:color w:val="auto"/>
          <w:szCs w:val="21"/>
          <w:highlight w:val="none"/>
        </w:rPr>
        <w:t>投标</w:t>
      </w:r>
      <w:r>
        <w:rPr>
          <w:rFonts w:hint="eastAsia" w:ascii="宋体" w:hAnsi="宋体"/>
          <w:color w:val="auto"/>
          <w:szCs w:val="21"/>
          <w:highlight w:val="none"/>
        </w:rPr>
        <w:t>供应商不足</w:t>
      </w:r>
      <w:r>
        <w:rPr>
          <w:rFonts w:ascii="宋体" w:hAnsi="宋体"/>
          <w:color w:val="auto"/>
          <w:szCs w:val="21"/>
          <w:highlight w:val="none"/>
        </w:rPr>
        <w:t>法定数量</w:t>
      </w:r>
      <w:r>
        <w:rPr>
          <w:rFonts w:hint="eastAsia" w:ascii="宋体" w:hAnsi="宋体"/>
          <w:color w:val="auto"/>
          <w:szCs w:val="21"/>
          <w:highlight w:val="none"/>
        </w:rPr>
        <w:t>，则该项目作废标处理，重新组织招标。</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A216A"/>
    <w:multiLevelType w:val="multilevel"/>
    <w:tmpl w:val="2A8A216A"/>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abstractNum w:abstractNumId="1">
    <w:nsid w:val="34594378"/>
    <w:multiLevelType w:val="singleLevel"/>
    <w:tmpl w:val="3459437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84507"/>
    <w:rsid w:val="2E684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5" w:lineRule="auto"/>
      <w:outlineLvl w:val="1"/>
    </w:pPr>
    <w:rPr>
      <w:rFonts w:ascii="Cambria" w:hAnsi="Cambria" w:cs="宋体"/>
      <w:b/>
      <w:bCs/>
      <w:sz w:val="32"/>
      <w:szCs w:val="32"/>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rPr>
      <w:rFonts w:ascii="仿宋_GB2312" w:eastAsia="仿宋_GB2312"/>
      <w:sz w:val="32"/>
    </w:rPr>
  </w:style>
  <w:style w:type="paragraph" w:styleId="5">
    <w:name w:val="Body Text Indent"/>
    <w:basedOn w:val="1"/>
    <w:next w:val="6"/>
    <w:qFormat/>
    <w:uiPriority w:val="0"/>
    <w:pPr>
      <w:spacing w:before="120" w:line="400" w:lineRule="exact"/>
      <w:ind w:firstLine="600"/>
    </w:pPr>
    <w:rPr>
      <w:sz w:val="28"/>
    </w:rPr>
  </w:style>
  <w:style w:type="paragraph" w:styleId="6">
    <w:name w:val="envelope return"/>
    <w:basedOn w:val="1"/>
    <w:unhideWhenUsed/>
    <w:qFormat/>
    <w:uiPriority w:val="99"/>
    <w:pPr>
      <w:snapToGrid w:val="0"/>
    </w:pPr>
    <w:rPr>
      <w:rFonts w:ascii="Arial" w:hAnsi="Arial"/>
    </w:rPr>
  </w:style>
  <w:style w:type="paragraph" w:styleId="7">
    <w:name w:val="header"/>
    <w:basedOn w:val="1"/>
    <w:qFormat/>
    <w:uiPriority w:val="0"/>
    <w:pPr>
      <w:pBdr>
        <w:bottom w:val="single" w:color="auto" w:sz="6" w:space="1"/>
      </w:pBdr>
      <w:tabs>
        <w:tab w:val="center" w:pos="4153"/>
        <w:tab w:val="right" w:pos="8306"/>
      </w:tabs>
      <w:autoSpaceDE w:val="0"/>
      <w:autoSpaceDN w:val="0"/>
      <w:adjustRightInd w:val="0"/>
      <w:jc w:val="center"/>
      <w:textAlignment w:val="baseline"/>
    </w:pPr>
    <w:rPr>
      <w:rFonts w:ascii="宋体"/>
      <w:kern w:val="0"/>
      <w:sz w:val="18"/>
    </w:rPr>
  </w:style>
  <w:style w:type="paragraph" w:styleId="8">
    <w:name w:val="Body Text First Indent 2"/>
    <w:basedOn w:val="5"/>
    <w:unhideWhenUsed/>
    <w:qFormat/>
    <w:uiPriority w:val="99"/>
  </w:style>
  <w:style w:type="table" w:styleId="10">
    <w:name w:val="Table Grid"/>
    <w:basedOn w:val="9"/>
    <w:qFormat/>
    <w:uiPriority w:val="0"/>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2">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2023-02-15T07:10:00Z</dcterms:created>
  <dc:creator>Eileen</dc:creator>
  <cp:lastModifiedBy>Eileen</cp:lastModifiedBy>
  <dcterms:modified xsi:type="dcterms:W3CDTF">2023-02-15T07:11:19Z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87C4EA2C6C164C07A697F810815CABD2</vt:lpwstr>
  </property>
</Properties>
</file>