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outlineLvl w:val="0"/>
        <w:rPr>
          <w:rFonts w:ascii="微软雅黑" w:hAnsi="微软雅黑" w:eastAsia="微软雅黑" w:cs="微软雅黑"/>
          <w:b/>
          <w:color w:val="auto"/>
          <w:sz w:val="32"/>
          <w:szCs w:val="32"/>
          <w:highlight w:val="none"/>
        </w:rPr>
      </w:pPr>
      <w:bookmarkStart w:id="0" w:name="_Toc1331"/>
      <w:bookmarkStart w:id="10" w:name="_GoBack"/>
      <w:bookmarkEnd w:id="10"/>
      <w:r>
        <w:rPr>
          <w:rFonts w:hint="eastAsia" w:ascii="微软雅黑" w:hAnsi="微软雅黑" w:eastAsia="微软雅黑" w:cs="微软雅黑"/>
          <w:b/>
          <w:color w:val="auto"/>
          <w:sz w:val="32"/>
          <w:szCs w:val="32"/>
          <w:highlight w:val="none"/>
        </w:rPr>
        <w:t>第四章  需求及技术规格</w:t>
      </w:r>
      <w:bookmarkEnd w:id="0"/>
    </w:p>
    <w:p>
      <w:pPr>
        <w:spacing w:line="340" w:lineRule="exact"/>
        <w:ind w:left="-71" w:firstLine="447" w:firstLineChars="212"/>
        <w:rPr>
          <w:rFonts w:ascii="宋体" w:hAnsi="宋体"/>
          <w:b/>
          <w:bCs/>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1" w:name="_Toc24986"/>
      <w:r>
        <w:rPr>
          <w:rFonts w:hint="eastAsia" w:ascii="微软雅黑" w:hAnsi="微软雅黑" w:eastAsia="微软雅黑" w:cs="微软雅黑"/>
          <w:b/>
          <w:color w:val="auto"/>
          <w:sz w:val="24"/>
          <w:szCs w:val="24"/>
          <w:highlight w:val="none"/>
        </w:rPr>
        <w:t>第一节  说明</w:t>
      </w:r>
      <w:bookmarkEnd w:id="1"/>
    </w:p>
    <w:p>
      <w:pPr>
        <w:spacing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pPr>
        <w:spacing w:line="440" w:lineRule="exact"/>
        <w:ind w:firstLine="422" w:firstLineChars="200"/>
        <w:rPr>
          <w:rFonts w:ascii="宋体" w:hAnsi="宋体"/>
          <w:b/>
          <w:color w:val="auto"/>
          <w:highlight w:val="none"/>
        </w:rPr>
      </w:pPr>
      <w:r>
        <w:rPr>
          <w:rFonts w:hint="eastAsia" w:ascii="宋体" w:hAnsi="宋体"/>
          <w:b/>
          <w:color w:val="auto"/>
          <w:highlight w:val="none"/>
        </w:rPr>
        <w:t>重点说明：偏离表中“偏离度”由投标人自行判断后填写，内容仅供评委参考，</w:t>
      </w:r>
      <w:r>
        <w:rPr>
          <w:rFonts w:ascii="宋体" w:hAnsi="宋体"/>
          <w:b/>
          <w:color w:val="auto"/>
          <w:highlight w:val="none"/>
        </w:rPr>
        <w:t>评标委员会将根据</w:t>
      </w:r>
      <w:r>
        <w:rPr>
          <w:rFonts w:hint="eastAsia" w:ascii="宋体" w:hAnsi="宋体"/>
          <w:b/>
          <w:color w:val="auto"/>
          <w:highlight w:val="none"/>
        </w:rPr>
        <w:t>具体响应内容</w:t>
      </w:r>
      <w:r>
        <w:rPr>
          <w:rFonts w:ascii="宋体" w:hAnsi="宋体"/>
          <w:b/>
          <w:color w:val="auto"/>
          <w:highlight w:val="none"/>
        </w:rPr>
        <w:t>给予是否偏离的认定，并以此</w:t>
      </w:r>
      <w:r>
        <w:rPr>
          <w:rFonts w:hint="eastAsia" w:ascii="宋体" w:hAnsi="宋体"/>
          <w:b/>
          <w:color w:val="auto"/>
          <w:highlight w:val="none"/>
        </w:rPr>
        <w:t>作为</w:t>
      </w:r>
      <w:r>
        <w:rPr>
          <w:rFonts w:ascii="宋体" w:hAnsi="宋体"/>
          <w:b/>
          <w:color w:val="auto"/>
          <w:highlight w:val="none"/>
        </w:rPr>
        <w:t>最终评判</w:t>
      </w:r>
      <w:r>
        <w:rPr>
          <w:rFonts w:hint="eastAsia" w:ascii="宋体" w:hAnsi="宋体"/>
          <w:b/>
          <w:color w:val="auto"/>
          <w:szCs w:val="22"/>
          <w:highlight w:val="none"/>
        </w:rPr>
        <w:t>。</w:t>
      </w:r>
      <w:r>
        <w:rPr>
          <w:rFonts w:hint="eastAsia" w:ascii="宋体" w:hAnsi="宋体"/>
          <w:b/>
          <w:color w:val="auto"/>
          <w:highlight w:val="none"/>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w:t>
      </w:r>
      <w:r>
        <w:rPr>
          <w:rFonts w:ascii="宋体" w:hAnsi="宋体"/>
          <w:b/>
          <w:bCs/>
          <w:color w:val="auto"/>
          <w:szCs w:val="21"/>
          <w:highlight w:val="none"/>
        </w:rPr>
        <w:t>本招标文件要求中，凡标有</w:t>
      </w:r>
      <w:r>
        <w:rPr>
          <w:rFonts w:hint="eastAsia" w:ascii="宋体" w:hAnsi="宋体"/>
          <w:b/>
          <w:bCs/>
          <w:color w:val="auto"/>
          <w:szCs w:val="21"/>
          <w:highlight w:val="none"/>
        </w:rPr>
        <w:t>“★”</w:t>
      </w:r>
      <w:r>
        <w:rPr>
          <w:rFonts w:ascii="宋体" w:hAnsi="宋体"/>
          <w:b/>
          <w:bCs/>
          <w:color w:val="auto"/>
          <w:szCs w:val="21"/>
          <w:highlight w:val="none"/>
        </w:rPr>
        <w:t>的地方均被视为</w:t>
      </w:r>
      <w:r>
        <w:rPr>
          <w:rFonts w:hint="eastAsia" w:ascii="宋体" w:hAnsi="宋体"/>
          <w:b/>
          <w:bCs/>
          <w:color w:val="auto"/>
          <w:szCs w:val="21"/>
          <w:highlight w:val="none"/>
        </w:rPr>
        <w:t>不可偏离条款，</w:t>
      </w:r>
      <w:r>
        <w:rPr>
          <w:rFonts w:ascii="宋体" w:hAnsi="宋体"/>
          <w:b/>
          <w:bCs/>
          <w:color w:val="auto"/>
          <w:szCs w:val="21"/>
          <w:highlight w:val="none"/>
        </w:rPr>
        <w:t>投标人要特别加以注意</w:t>
      </w:r>
      <w:r>
        <w:rPr>
          <w:rFonts w:hint="eastAsia" w:ascii="宋体" w:hAnsi="宋体"/>
          <w:b/>
          <w:bCs/>
          <w:color w:val="auto"/>
          <w:szCs w:val="21"/>
          <w:highlight w:val="none"/>
        </w:rPr>
        <w:t>并予以响应，</w:t>
      </w:r>
      <w:r>
        <w:rPr>
          <w:rFonts w:ascii="宋体" w:hAnsi="宋体"/>
          <w:b/>
          <w:bCs/>
          <w:color w:val="auto"/>
          <w:szCs w:val="21"/>
          <w:highlight w:val="none"/>
        </w:rPr>
        <w:t>否则，若有一项带</w:t>
      </w:r>
      <w:r>
        <w:rPr>
          <w:rFonts w:hint="eastAsia" w:ascii="宋体" w:hAnsi="宋体"/>
          <w:b/>
          <w:bCs/>
          <w:color w:val="auto"/>
          <w:szCs w:val="21"/>
          <w:highlight w:val="none"/>
        </w:rPr>
        <w:t>“★”</w:t>
      </w:r>
      <w:r>
        <w:rPr>
          <w:rFonts w:ascii="宋体" w:hAnsi="宋体"/>
          <w:b/>
          <w:bCs/>
          <w:color w:val="auto"/>
          <w:szCs w:val="21"/>
          <w:highlight w:val="none"/>
        </w:rPr>
        <w:t>的</w:t>
      </w:r>
      <w:r>
        <w:rPr>
          <w:rFonts w:hint="eastAsia" w:ascii="宋体" w:hAnsi="宋体"/>
          <w:b/>
          <w:bCs/>
          <w:color w:val="auto"/>
          <w:szCs w:val="21"/>
          <w:highlight w:val="none"/>
        </w:rPr>
        <w:t>要求</w:t>
      </w:r>
      <w:r>
        <w:rPr>
          <w:rFonts w:ascii="宋体" w:hAnsi="宋体"/>
          <w:b/>
          <w:bCs/>
          <w:color w:val="auto"/>
          <w:szCs w:val="21"/>
          <w:highlight w:val="none"/>
        </w:rPr>
        <w:t>未响应或不满足，将按投标无效处理</w:t>
      </w:r>
      <w:r>
        <w:rPr>
          <w:rFonts w:hint="eastAsia" w:ascii="宋体" w:hAnsi="宋体"/>
          <w:b/>
          <w:bCs/>
          <w:color w:val="auto"/>
          <w:szCs w:val="21"/>
          <w:highlight w:val="none"/>
        </w:rPr>
        <w:t>；</w:t>
      </w:r>
      <w:r>
        <w:rPr>
          <w:rFonts w:ascii="宋体" w:hAnsi="宋体"/>
          <w:b/>
          <w:bCs/>
          <w:color w:val="auto"/>
          <w:szCs w:val="21"/>
          <w:highlight w:val="none"/>
        </w:rPr>
        <w:t>凡标有</w:t>
      </w:r>
      <w:r>
        <w:rPr>
          <w:rFonts w:hint="eastAsia" w:ascii="宋体" w:hAnsi="宋体"/>
          <w:b/>
          <w:bCs/>
          <w:color w:val="auto"/>
          <w:szCs w:val="21"/>
          <w:highlight w:val="none"/>
        </w:rPr>
        <w:t xml:space="preserve"> “▲”</w:t>
      </w:r>
      <w:r>
        <w:rPr>
          <w:rFonts w:ascii="宋体" w:hAnsi="宋体"/>
          <w:b/>
          <w:bCs/>
          <w:color w:val="auto"/>
          <w:szCs w:val="21"/>
          <w:highlight w:val="none"/>
        </w:rPr>
        <w:t>的地方均被视为重要要求</w:t>
      </w:r>
      <w:r>
        <w:rPr>
          <w:rFonts w:hint="eastAsia" w:ascii="宋体" w:hAnsi="宋体"/>
          <w:b/>
          <w:bCs/>
          <w:color w:val="auto"/>
          <w:szCs w:val="21"/>
          <w:highlight w:val="none"/>
        </w:rPr>
        <w:t>，若有带“▲”的要求未响应或不满足的，将按加重扣分处理</w:t>
      </w:r>
      <w:r>
        <w:rPr>
          <w:rFonts w:ascii="宋体" w:hAnsi="宋体"/>
          <w:b/>
          <w:bCs/>
          <w:color w:val="auto"/>
          <w:szCs w:val="21"/>
          <w:highlight w:val="none"/>
        </w:rPr>
        <w:t>。</w:t>
      </w:r>
    </w:p>
    <w:p>
      <w:pPr>
        <w:spacing w:line="440" w:lineRule="exact"/>
        <w:jc w:val="center"/>
        <w:rPr>
          <w:rFonts w:ascii="宋体" w:hAnsi="宋体"/>
          <w:b/>
          <w:bCs/>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2" w:name="_Toc28899"/>
      <w:r>
        <w:rPr>
          <w:rFonts w:hint="eastAsia" w:ascii="微软雅黑" w:hAnsi="微软雅黑" w:eastAsia="微软雅黑" w:cs="微软雅黑"/>
          <w:b/>
          <w:color w:val="auto"/>
          <w:sz w:val="24"/>
          <w:szCs w:val="24"/>
          <w:highlight w:val="none"/>
        </w:rPr>
        <w:t>第二节  需求一览表</w:t>
      </w:r>
      <w:bookmarkEnd w:id="2"/>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138"/>
        <w:gridCol w:w="922"/>
        <w:gridCol w:w="107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2" w:type="dxa"/>
            <w:vAlign w:val="center"/>
          </w:tcPr>
          <w:p>
            <w:pPr>
              <w:jc w:val="center"/>
              <w:rPr>
                <w:b/>
                <w:color w:val="auto"/>
                <w:highlight w:val="none"/>
              </w:rPr>
            </w:pPr>
            <w:r>
              <w:rPr>
                <w:b/>
                <w:color w:val="auto"/>
                <w:highlight w:val="none"/>
              </w:rPr>
              <w:t>序号</w:t>
            </w:r>
          </w:p>
        </w:tc>
        <w:tc>
          <w:tcPr>
            <w:tcW w:w="4138" w:type="dxa"/>
            <w:vAlign w:val="center"/>
          </w:tcPr>
          <w:p>
            <w:pPr>
              <w:jc w:val="center"/>
              <w:rPr>
                <w:b/>
                <w:color w:val="auto"/>
                <w:highlight w:val="none"/>
              </w:rPr>
            </w:pPr>
            <w:r>
              <w:rPr>
                <w:b/>
                <w:color w:val="auto"/>
                <w:highlight w:val="none"/>
              </w:rPr>
              <w:t>服务名称</w:t>
            </w:r>
          </w:p>
        </w:tc>
        <w:tc>
          <w:tcPr>
            <w:tcW w:w="922" w:type="dxa"/>
            <w:vAlign w:val="center"/>
          </w:tcPr>
          <w:p>
            <w:pPr>
              <w:jc w:val="center"/>
              <w:rPr>
                <w:b/>
                <w:color w:val="auto"/>
                <w:highlight w:val="none"/>
              </w:rPr>
            </w:pPr>
            <w:r>
              <w:rPr>
                <w:b/>
                <w:color w:val="auto"/>
                <w:highlight w:val="none"/>
              </w:rPr>
              <w:t>数量</w:t>
            </w:r>
          </w:p>
        </w:tc>
        <w:tc>
          <w:tcPr>
            <w:tcW w:w="1073" w:type="dxa"/>
            <w:vAlign w:val="center"/>
          </w:tcPr>
          <w:p>
            <w:pPr>
              <w:jc w:val="center"/>
              <w:rPr>
                <w:b/>
                <w:color w:val="auto"/>
                <w:highlight w:val="none"/>
              </w:rPr>
            </w:pPr>
            <w:r>
              <w:rPr>
                <w:b/>
                <w:color w:val="auto"/>
                <w:highlight w:val="none"/>
              </w:rPr>
              <w:t>单位</w:t>
            </w:r>
          </w:p>
        </w:tc>
        <w:tc>
          <w:tcPr>
            <w:tcW w:w="1900" w:type="dxa"/>
            <w:vAlign w:val="center"/>
          </w:tcPr>
          <w:p>
            <w:pPr>
              <w:jc w:val="center"/>
              <w:rPr>
                <w:rFonts w:ascii="宋体" w:hAnsi="宋体"/>
                <w:b/>
                <w:color w:val="auto"/>
                <w:highlight w:val="none"/>
              </w:rPr>
            </w:pPr>
            <w:r>
              <w:rPr>
                <w:rFonts w:hint="eastAsia"/>
                <w:b/>
                <w:color w:val="auto"/>
                <w:szCs w:val="21"/>
                <w:highlight w:val="none"/>
              </w:rPr>
              <w:t>预算控制金额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2" w:type="dxa"/>
            <w:vAlign w:val="center"/>
          </w:tcPr>
          <w:p>
            <w:pPr>
              <w:jc w:val="center"/>
              <w:rPr>
                <w:rFonts w:ascii="宋体" w:hAnsi="宋体"/>
                <w:color w:val="auto"/>
                <w:highlight w:val="none"/>
              </w:rPr>
            </w:pPr>
            <w:r>
              <w:rPr>
                <w:rFonts w:ascii="宋体" w:hAnsi="宋体"/>
                <w:color w:val="auto"/>
                <w:highlight w:val="none"/>
              </w:rPr>
              <w:t>1</w:t>
            </w:r>
          </w:p>
        </w:tc>
        <w:tc>
          <w:tcPr>
            <w:tcW w:w="4138" w:type="dxa"/>
            <w:vAlign w:val="center"/>
          </w:tcPr>
          <w:p>
            <w:pPr>
              <w:rPr>
                <w:rFonts w:hint="eastAsia" w:ascii="宋体" w:hAnsi="宋体" w:eastAsiaTheme="minorEastAsia"/>
                <w:color w:val="auto"/>
                <w:highlight w:val="none"/>
                <w:lang w:eastAsia="zh-CN"/>
              </w:rPr>
            </w:pPr>
            <w:r>
              <w:rPr>
                <w:rFonts w:hint="eastAsia" w:asciiTheme="minorEastAsia" w:hAnsiTheme="minorEastAsia" w:eastAsiaTheme="minorEastAsia" w:cstheme="minorBidi"/>
                <w:color w:val="auto"/>
                <w:szCs w:val="21"/>
                <w:highlight w:val="none"/>
                <w:lang w:eastAsia="zh-CN"/>
              </w:rPr>
              <w:t>深圳地铁移动电视播放就业年审、保障金征收通告</w:t>
            </w:r>
          </w:p>
        </w:tc>
        <w:tc>
          <w:tcPr>
            <w:tcW w:w="922" w:type="dxa"/>
            <w:vAlign w:val="center"/>
          </w:tcPr>
          <w:p>
            <w:pPr>
              <w:jc w:val="center"/>
              <w:rPr>
                <w:rFonts w:ascii="宋体" w:hAnsi="宋体"/>
                <w:color w:val="auto"/>
                <w:highlight w:val="none"/>
              </w:rPr>
            </w:pPr>
            <w:r>
              <w:rPr>
                <w:rFonts w:ascii="宋体" w:hAnsi="宋体"/>
                <w:color w:val="auto"/>
                <w:highlight w:val="none"/>
              </w:rPr>
              <w:t>1</w:t>
            </w:r>
          </w:p>
        </w:tc>
        <w:tc>
          <w:tcPr>
            <w:tcW w:w="1073" w:type="dxa"/>
            <w:vAlign w:val="center"/>
          </w:tcPr>
          <w:p>
            <w:pPr>
              <w:jc w:val="center"/>
              <w:rPr>
                <w:rFonts w:ascii="宋体" w:hAnsi="宋体"/>
                <w:color w:val="auto"/>
                <w:highlight w:val="none"/>
              </w:rPr>
            </w:pPr>
            <w:r>
              <w:rPr>
                <w:rFonts w:ascii="宋体" w:hAnsi="宋体"/>
                <w:color w:val="auto"/>
                <w:highlight w:val="none"/>
              </w:rPr>
              <w:t>项</w:t>
            </w:r>
          </w:p>
        </w:tc>
        <w:tc>
          <w:tcPr>
            <w:tcW w:w="1900" w:type="dxa"/>
            <w:vAlign w:val="center"/>
          </w:tcPr>
          <w:p>
            <w:pPr>
              <w:jc w:val="center"/>
              <w:rPr>
                <w:rFonts w:ascii="宋体" w:hAnsi="宋体"/>
                <w:color w:val="auto"/>
                <w:highlight w:val="none"/>
              </w:rPr>
            </w:pPr>
            <w:r>
              <w:rPr>
                <w:rFonts w:hint="eastAsia"/>
                <w:color w:val="auto"/>
                <w:szCs w:val="21"/>
                <w:highlight w:val="none"/>
                <w:lang w:val="en-US" w:eastAsia="zh-CN"/>
              </w:rPr>
              <w:t>42.56</w:t>
            </w:r>
            <w:r>
              <w:rPr>
                <w:rFonts w:hint="eastAsia"/>
                <w:color w:val="auto"/>
                <w:szCs w:val="21"/>
                <w:highlight w:val="none"/>
              </w:rPr>
              <w:t>万元</w:t>
            </w:r>
          </w:p>
        </w:tc>
      </w:tr>
    </w:tbl>
    <w:p>
      <w:pPr>
        <w:spacing w:line="340" w:lineRule="exact"/>
        <w:ind w:firstLine="422" w:firstLineChars="200"/>
        <w:rPr>
          <w:rFonts w:ascii="宋体" w:hAnsi="宋体"/>
          <w:b/>
          <w:bCs/>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3" w:name="_Toc5820"/>
      <w:r>
        <w:rPr>
          <w:rFonts w:hint="eastAsia" w:ascii="微软雅黑" w:hAnsi="微软雅黑" w:eastAsia="微软雅黑" w:cs="微软雅黑"/>
          <w:b/>
          <w:color w:val="auto"/>
          <w:sz w:val="24"/>
          <w:szCs w:val="24"/>
          <w:highlight w:val="none"/>
        </w:rPr>
        <w:t>第三节  技术需求明细</w:t>
      </w:r>
      <w:bookmarkEnd w:id="3"/>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一、</w:t>
      </w:r>
      <w:r>
        <w:rPr>
          <w:rFonts w:hint="eastAsia" w:ascii="宋体" w:hAnsi="宋体" w:cs="宋体"/>
          <w:color w:val="auto"/>
          <w:szCs w:val="21"/>
          <w:highlight w:val="none"/>
          <w:lang w:eastAsia="zh-CN"/>
        </w:rPr>
        <w:t>项目背景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深圳</w:t>
      </w:r>
      <w:r>
        <w:rPr>
          <w:rFonts w:hint="eastAsia" w:ascii="宋体" w:hAnsi="宋体" w:cs="宋体"/>
          <w:color w:val="auto"/>
          <w:szCs w:val="21"/>
          <w:highlight w:val="none"/>
        </w:rPr>
        <w:t>地铁移动电视播放残疾人就业年审、征收通告。3-6月播放就业年审通告14天；8-11月份播放征收通告14天。播放期间每天播放4次，每次60秒，共28天，预算经费42.56万元</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二、具体技术要求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负责与</w:t>
      </w:r>
      <w:r>
        <w:rPr>
          <w:rFonts w:hint="eastAsia" w:ascii="宋体" w:hAnsi="宋体" w:cs="宋体"/>
          <w:color w:val="auto"/>
          <w:szCs w:val="21"/>
          <w:highlight w:val="none"/>
          <w:lang w:val="en-US" w:eastAsia="zh-CN"/>
        </w:rPr>
        <w:t>深圳</w:t>
      </w:r>
      <w:r>
        <w:rPr>
          <w:rFonts w:hint="eastAsia" w:ascii="宋体" w:hAnsi="宋体" w:cs="宋体"/>
          <w:color w:val="auto"/>
          <w:szCs w:val="21"/>
          <w:highlight w:val="none"/>
        </w:rPr>
        <w:t>地铁公司协调在地铁移动媒体设备上发布广告事宜，确保地铁公司在合同期内顺利发布广告视频，并承担地铁移动媒体租金及维护费用和车内广告发布审批及登记、备案等费用。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按要求在深圳地铁移动媒体设备上发布指定宣传视频，保证发布期间协议内所有正常运营的地铁车辆全线覆盖、同步播放。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于2023年3- 6月期间在深圳地铁移动电视频道播放“2023年度分散按比例安排残疾人就业年审通告”60秒视频，连续播放14天，每天播放4次（7:00—9:00、17:00—21:00），每次60秒，具体播放时间以项目进度为准。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于2023年8-11月期间在深圳地铁移动电视频道播放“2023年度残疾人就业保障金征收通告”60秒视频, 连续播放14天，每天播放4次（7:00—9:00、17:00—21:00），每次60秒，具体播放时间以项目推进进度为准。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需在项目结束后5个工作日内提供每天播放视频记录的影像资料备案。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项目结束后，双方签署项目验收报告备案。</w:t>
      </w:r>
    </w:p>
    <w:p>
      <w:pPr>
        <w:spacing w:line="340" w:lineRule="exact"/>
        <w:ind w:firstLine="472" w:firstLineChars="225"/>
        <w:rPr>
          <w:rFonts w:ascii="宋体" w:hAnsi="宋体"/>
          <w:color w:val="auto"/>
          <w:szCs w:val="21"/>
          <w:highlight w:val="none"/>
        </w:rPr>
      </w:pPr>
    </w:p>
    <w:p>
      <w:pPr>
        <w:jc w:val="center"/>
        <w:outlineLvl w:val="1"/>
        <w:rPr>
          <w:rFonts w:ascii="微软雅黑" w:hAnsi="微软雅黑" w:eastAsia="微软雅黑" w:cs="微软雅黑"/>
          <w:b/>
          <w:color w:val="auto"/>
          <w:sz w:val="24"/>
          <w:szCs w:val="24"/>
          <w:highlight w:val="none"/>
        </w:rPr>
      </w:pPr>
      <w:bookmarkStart w:id="4" w:name="_Toc9861"/>
      <w:r>
        <w:rPr>
          <w:rFonts w:hint="eastAsia" w:ascii="微软雅黑" w:hAnsi="微软雅黑" w:eastAsia="微软雅黑" w:cs="微软雅黑"/>
          <w:b/>
          <w:color w:val="auto"/>
          <w:sz w:val="24"/>
          <w:szCs w:val="24"/>
          <w:highlight w:val="none"/>
        </w:rPr>
        <w:t>第四节  商务需求明细</w:t>
      </w:r>
      <w:bookmarkEnd w:id="4"/>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一、服务期限</w:t>
      </w:r>
    </w:p>
    <w:p>
      <w:pPr>
        <w:keepNext w:val="0"/>
        <w:keepLines w:val="0"/>
        <w:pageBreakBefore w:val="0"/>
        <w:widowControl/>
        <w:shd w:val="clear" w:color="auto" w:fill="FFFFFF"/>
        <w:kinsoku/>
        <w:wordWrap/>
        <w:overflowPunct/>
        <w:topLinePunct w:val="0"/>
        <w:autoSpaceDE/>
        <w:autoSpaceDN/>
        <w:bidi w:val="0"/>
        <w:adjustRightIn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自合同签订之日起10个月内。</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二、项目进度安排</w:t>
      </w:r>
    </w:p>
    <w:p>
      <w:pPr>
        <w:pStyle w:val="3"/>
        <w:keepNext w:val="0"/>
        <w:keepLines w:val="0"/>
        <w:pageBreakBefore w:val="0"/>
        <w:tabs>
          <w:tab w:val="left" w:pos="562"/>
          <w:tab w:val="left" w:pos="3372"/>
          <w:tab w:val="left" w:pos="3653"/>
        </w:tabs>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highlight w:val="none"/>
          <w:lang w:eastAsia="zh-TW"/>
        </w:rPr>
      </w:pPr>
      <w:r>
        <w:rPr>
          <w:rFonts w:hint="eastAsia" w:ascii="宋体" w:hAnsi="宋体" w:eastAsia="宋体" w:cs="宋体"/>
          <w:color w:val="auto"/>
          <w:sz w:val="21"/>
          <w:highlight w:val="none"/>
          <w:lang w:eastAsia="zh-TW"/>
        </w:rPr>
        <w:t>依照双方中标后签订的服务协议内容执行。</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三、付款方式</w:t>
      </w:r>
    </w:p>
    <w:p>
      <w:pPr>
        <w:keepNext w:val="0"/>
        <w:keepLines w:val="0"/>
        <w:pageBreakBefore w:val="0"/>
        <w:kinsoku/>
        <w:wordWrap/>
        <w:overflowPunct/>
        <w:topLinePunct w:val="0"/>
        <w:autoSpaceDE/>
        <w:autoSpaceDN/>
        <w:bidi w:val="0"/>
        <w:adjustRightInd/>
        <w:spacing w:line="440" w:lineRule="exact"/>
        <w:ind w:firstLine="420" w:firstLineChars="200"/>
        <w:jc w:val="left"/>
        <w:textAlignment w:val="auto"/>
        <w:rPr>
          <w:rFonts w:hint="eastAsia" w:ascii="宋体" w:hAnsi="宋体" w:eastAsia="宋体" w:cs="宋体"/>
          <w:color w:val="auto"/>
          <w:highlight w:val="none"/>
          <w:lang w:eastAsia="zh-TW"/>
        </w:rPr>
      </w:pPr>
      <w:r>
        <w:rPr>
          <w:rFonts w:hint="eastAsia" w:ascii="宋体" w:hAnsi="宋体" w:eastAsia="宋体" w:cs="宋体"/>
          <w:color w:val="auto"/>
          <w:highlight w:val="none"/>
          <w:lang w:eastAsia="zh-TW"/>
        </w:rPr>
        <w:t>项目服务协议签订后，采购人支付</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lang w:eastAsia="zh-TW"/>
        </w:rPr>
        <w:t>0%的首款；</w:t>
      </w:r>
    </w:p>
    <w:p>
      <w:pPr>
        <w:keepNext w:val="0"/>
        <w:keepLines w:val="0"/>
        <w:pageBreakBefore w:val="0"/>
        <w:kinsoku/>
        <w:wordWrap/>
        <w:overflowPunct/>
        <w:topLinePunct w:val="0"/>
        <w:autoSpaceDE/>
        <w:autoSpaceDN/>
        <w:bidi w:val="0"/>
        <w:adjustRightInd/>
        <w:spacing w:line="440" w:lineRule="exact"/>
        <w:ind w:firstLine="420" w:firstLineChars="200"/>
        <w:jc w:val="left"/>
        <w:textAlignment w:val="auto"/>
        <w:rPr>
          <w:rFonts w:hint="eastAsia" w:ascii="宋体" w:hAnsi="宋体" w:eastAsia="宋体" w:cs="宋体"/>
          <w:color w:val="auto"/>
          <w:highlight w:val="none"/>
          <w:lang w:eastAsia="zh-TW"/>
        </w:rPr>
      </w:pPr>
      <w:r>
        <w:rPr>
          <w:rFonts w:hint="eastAsia" w:ascii="宋体" w:hAnsi="宋体" w:eastAsia="宋体" w:cs="宋体"/>
          <w:color w:val="auto"/>
          <w:highlight w:val="none"/>
          <w:lang w:eastAsia="zh-TW"/>
        </w:rPr>
        <w:t>项目成果通过验收后，采购人支付</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TW"/>
        </w:rPr>
        <w:t>0%的尾款。</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四、售后服务要求</w:t>
      </w:r>
    </w:p>
    <w:p>
      <w:pPr>
        <w:keepNext w:val="0"/>
        <w:keepLines w:val="0"/>
        <w:pageBreakBefore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b/>
          <w:color w:val="auto"/>
          <w:highlight w:val="none"/>
        </w:rPr>
      </w:pPr>
      <w:r>
        <w:rPr>
          <w:rFonts w:hint="eastAsia" w:ascii="宋体" w:hAnsi="宋体" w:eastAsia="宋体" w:cs="宋体"/>
          <w:color w:val="auto"/>
          <w:highlight w:val="none"/>
        </w:rPr>
        <w:t>（1）售后服务团队：中标人应妥善安排项目服务团队，随时根据采购人的要求提供咨询服务 。</w:t>
      </w:r>
    </w:p>
    <w:p>
      <w:pPr>
        <w:keepNext w:val="0"/>
        <w:keepLines w:val="0"/>
        <w:pageBreakBefore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（2）售后服务期限：10个月。</w:t>
      </w:r>
    </w:p>
    <w:p>
      <w:pPr>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（3）事件响应时间：活动中、活动结束后需要中标人协助提供、补充相应活动过程材料的，中标人须在2个工作日内响应，5个工作日内完成 。</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五、违约责任</w:t>
      </w:r>
    </w:p>
    <w:p>
      <w:pPr>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color w:val="auto"/>
          <w:sz w:val="21"/>
          <w:szCs w:val="21"/>
          <w:highlight w:val="none"/>
        </w:rPr>
        <w:t>如中标人提供的服务文件不符合质量要求，必须在采购人提出要求后</w:t>
      </w:r>
      <w:r>
        <w:rPr>
          <w:rFonts w:hint="eastAsia" w:ascii="宋体" w:hAnsi="宋体" w:eastAsia="宋体" w:cs="宋体"/>
          <w:b/>
          <w:color w:val="auto"/>
          <w:sz w:val="21"/>
          <w:szCs w:val="21"/>
          <w:highlight w:val="none"/>
        </w:rPr>
        <w:t>7</w:t>
      </w:r>
      <w:r>
        <w:rPr>
          <w:rFonts w:hint="eastAsia" w:ascii="宋体" w:hAnsi="宋体" w:eastAsia="宋体" w:cs="宋体"/>
          <w:color w:val="auto"/>
          <w:sz w:val="21"/>
          <w:szCs w:val="21"/>
          <w:highlight w:val="none"/>
        </w:rPr>
        <w:t>天内无条件修改并达到采购人的要求，其费用由中标人承担。否则，采购人有权要求中标人承担合同总价款百分之</w:t>
      </w:r>
      <w:r>
        <w:rPr>
          <w:rFonts w:hint="eastAsia" w:ascii="宋体" w:hAnsi="宋体" w:eastAsia="宋体" w:cs="宋体"/>
          <w:bCs/>
          <w:color w:val="auto"/>
          <w:sz w:val="21"/>
          <w:szCs w:val="21"/>
          <w:highlight w:val="none"/>
        </w:rPr>
        <w:t>五</w:t>
      </w:r>
      <w:r>
        <w:rPr>
          <w:rFonts w:hint="eastAsia" w:ascii="宋体" w:hAnsi="宋体" w:eastAsia="宋体" w:cs="宋体"/>
          <w:color w:val="auto"/>
          <w:sz w:val="21"/>
          <w:szCs w:val="21"/>
          <w:highlight w:val="none"/>
        </w:rPr>
        <w:t>的违约金。</w:t>
      </w:r>
    </w:p>
    <w:p>
      <w:pPr>
        <w:jc w:val="center"/>
        <w:outlineLvl w:val="1"/>
        <w:rPr>
          <w:rFonts w:ascii="微软雅黑" w:hAnsi="微软雅黑" w:eastAsia="微软雅黑" w:cs="微软雅黑"/>
          <w:b/>
          <w:bCs/>
          <w:caps/>
          <w:color w:val="auto"/>
          <w:sz w:val="24"/>
          <w:szCs w:val="24"/>
          <w:highlight w:val="none"/>
        </w:rPr>
      </w:pPr>
      <w:bookmarkStart w:id="5" w:name="_Toc333420706"/>
      <w:bookmarkStart w:id="6" w:name="_Toc15840"/>
      <w:bookmarkStart w:id="7" w:name="_Toc353262376"/>
      <w:r>
        <w:rPr>
          <w:rFonts w:hint="eastAsia" w:ascii="微软雅黑" w:hAnsi="微软雅黑" w:eastAsia="微软雅黑" w:cs="微软雅黑"/>
          <w:b/>
          <w:bCs/>
          <w:caps/>
          <w:color w:val="auto"/>
          <w:sz w:val="24"/>
          <w:szCs w:val="24"/>
          <w:highlight w:val="none"/>
        </w:rPr>
        <w:t>第五节  投标</w:t>
      </w:r>
      <w:r>
        <w:rPr>
          <w:rFonts w:hint="eastAsia" w:ascii="微软雅黑" w:hAnsi="微软雅黑" w:eastAsia="微软雅黑" w:cs="微软雅黑"/>
          <w:b/>
          <w:bCs/>
          <w:color w:val="auto"/>
          <w:sz w:val="24"/>
          <w:szCs w:val="24"/>
          <w:highlight w:val="none"/>
        </w:rPr>
        <w:t>文件</w:t>
      </w:r>
      <w:r>
        <w:rPr>
          <w:rFonts w:hint="eastAsia" w:ascii="微软雅黑" w:hAnsi="微软雅黑" w:eastAsia="微软雅黑" w:cs="微软雅黑"/>
          <w:b/>
          <w:bCs/>
          <w:caps/>
          <w:color w:val="auto"/>
          <w:sz w:val="24"/>
          <w:szCs w:val="24"/>
          <w:highlight w:val="none"/>
        </w:rPr>
        <w:t>否决性条款摘要</w:t>
      </w:r>
      <w:bookmarkEnd w:id="5"/>
      <w:bookmarkEnd w:id="6"/>
      <w:bookmarkEnd w:id="7"/>
    </w:p>
    <w:p>
      <w:pPr>
        <w:spacing w:line="440" w:lineRule="exact"/>
        <w:ind w:firstLine="422" w:firstLineChars="200"/>
        <w:rPr>
          <w:rFonts w:ascii="宋体" w:hAnsi="宋体"/>
          <w:b/>
          <w:color w:val="auto"/>
          <w:szCs w:val="21"/>
          <w:highlight w:val="none"/>
        </w:rPr>
      </w:pPr>
      <w:r>
        <w:rPr>
          <w:rFonts w:ascii="宋体" w:hAnsi="宋体"/>
          <w:b/>
          <w:color w:val="auto"/>
          <w:highlight w:val="none"/>
        </w:rPr>
        <w:t>1、</w:t>
      </w:r>
      <w:r>
        <w:rPr>
          <w:rFonts w:ascii="宋体" w:hAnsi="宋体"/>
          <w:b/>
          <w:color w:val="auto"/>
          <w:szCs w:val="21"/>
          <w:highlight w:val="none"/>
        </w:rPr>
        <w:t>投标文件有下列情形之一的，不予受理：</w:t>
      </w:r>
    </w:p>
    <w:p>
      <w:pPr>
        <w:spacing w:line="440" w:lineRule="exact"/>
        <w:ind w:firstLine="420" w:firstLineChars="200"/>
        <w:rPr>
          <w:rFonts w:ascii="宋体" w:hAnsi="宋体"/>
          <w:color w:val="auto"/>
          <w:szCs w:val="21"/>
          <w:highlight w:val="none"/>
        </w:rPr>
      </w:pPr>
      <w:r>
        <w:rPr>
          <w:rFonts w:ascii="宋体" w:hAnsi="宋体"/>
          <w:color w:val="auto"/>
          <w:highlight w:val="none"/>
        </w:rPr>
        <w:t xml:space="preserve">1.1  </w:t>
      </w:r>
      <w:r>
        <w:rPr>
          <w:rFonts w:ascii="宋体" w:hAnsi="宋体"/>
          <w:color w:val="auto"/>
          <w:szCs w:val="21"/>
          <w:highlight w:val="none"/>
        </w:rPr>
        <w:t>在投标截止时间以后送达的，或者未送达指定地点的；</w:t>
      </w:r>
    </w:p>
    <w:p>
      <w:pPr>
        <w:spacing w:line="440" w:lineRule="exact"/>
        <w:ind w:firstLine="420" w:firstLineChars="200"/>
        <w:rPr>
          <w:rFonts w:ascii="宋体" w:hAnsi="宋体"/>
          <w:color w:val="auto"/>
          <w:highlight w:val="none"/>
        </w:rPr>
      </w:pPr>
      <w:r>
        <w:rPr>
          <w:rFonts w:ascii="宋体" w:hAnsi="宋体"/>
          <w:color w:val="auto"/>
          <w:highlight w:val="none"/>
        </w:rPr>
        <w:t xml:space="preserve">1.2  </w:t>
      </w:r>
      <w:r>
        <w:rPr>
          <w:rFonts w:hint="eastAsia" w:ascii="宋体" w:hAnsi="宋体"/>
          <w:color w:val="auto"/>
          <w:highlight w:val="none"/>
        </w:rPr>
        <w:t>投标文件未密封的；</w:t>
      </w:r>
    </w:p>
    <w:p>
      <w:pPr>
        <w:spacing w:line="440" w:lineRule="exact"/>
        <w:ind w:firstLine="420" w:firstLineChars="200"/>
        <w:rPr>
          <w:rFonts w:ascii="宋体" w:hAnsi="宋体"/>
          <w:b/>
          <w:color w:val="auto"/>
          <w:szCs w:val="21"/>
          <w:highlight w:val="none"/>
        </w:rPr>
      </w:pPr>
      <w:r>
        <w:rPr>
          <w:rFonts w:hint="eastAsia" w:ascii="宋体" w:hAnsi="宋体"/>
          <w:color w:val="auto"/>
          <w:highlight w:val="none"/>
        </w:rPr>
        <w:t xml:space="preserve">1.3  </w:t>
      </w:r>
      <w:r>
        <w:rPr>
          <w:rFonts w:ascii="宋体" w:hAnsi="宋体"/>
          <w:color w:val="auto"/>
          <w:szCs w:val="21"/>
          <w:highlight w:val="none"/>
        </w:rPr>
        <w:t>投标人的名称与</w:t>
      </w:r>
      <w:bookmarkStart w:id="8" w:name="_Toc76871384"/>
      <w:r>
        <w:rPr>
          <w:rFonts w:ascii="宋体" w:hAnsi="宋体"/>
          <w:color w:val="auto"/>
          <w:szCs w:val="21"/>
          <w:highlight w:val="none"/>
        </w:rPr>
        <w:t>购买招标文件时登记</w:t>
      </w:r>
      <w:bookmarkEnd w:id="8"/>
      <w:r>
        <w:rPr>
          <w:rFonts w:ascii="宋体" w:hAnsi="宋体"/>
          <w:color w:val="auto"/>
          <w:szCs w:val="21"/>
          <w:highlight w:val="none"/>
        </w:rPr>
        <w:t>的不一致的。</w:t>
      </w:r>
    </w:p>
    <w:p>
      <w:pPr>
        <w:spacing w:line="440" w:lineRule="exact"/>
        <w:ind w:firstLine="422" w:firstLineChars="200"/>
        <w:rPr>
          <w:rFonts w:ascii="宋体" w:hAnsi="宋体"/>
          <w:b/>
          <w:color w:val="auto"/>
          <w:szCs w:val="21"/>
          <w:highlight w:val="none"/>
        </w:rPr>
      </w:pPr>
      <w:r>
        <w:rPr>
          <w:rFonts w:ascii="宋体" w:hAnsi="宋体"/>
          <w:b/>
          <w:color w:val="auto"/>
          <w:highlight w:val="none"/>
        </w:rPr>
        <w:t>2</w:t>
      </w:r>
      <w:r>
        <w:rPr>
          <w:rFonts w:hint="eastAsia" w:ascii="宋体" w:hAnsi="宋体"/>
          <w:b/>
          <w:color w:val="auto"/>
          <w:highlight w:val="none"/>
        </w:rPr>
        <w:t>、</w:t>
      </w:r>
      <w:r>
        <w:rPr>
          <w:rFonts w:ascii="宋体" w:hAnsi="宋体"/>
          <w:b/>
          <w:color w:val="auto"/>
          <w:szCs w:val="21"/>
          <w:highlight w:val="none"/>
        </w:rPr>
        <w:t>投标文件有下列</w:t>
      </w:r>
      <w:r>
        <w:rPr>
          <w:rFonts w:hint="eastAsia" w:ascii="宋体" w:hAnsi="宋体"/>
          <w:b/>
          <w:color w:val="auto"/>
          <w:szCs w:val="21"/>
          <w:highlight w:val="none"/>
        </w:rPr>
        <w:t>情形之一的，按无效标处理：</w:t>
      </w:r>
    </w:p>
    <w:p>
      <w:pPr>
        <w:spacing w:line="440" w:lineRule="exact"/>
        <w:ind w:firstLine="420" w:firstLineChars="200"/>
        <w:rPr>
          <w:rFonts w:ascii="宋体" w:hAnsi="宋体"/>
          <w:color w:val="auto"/>
          <w:szCs w:val="21"/>
          <w:highlight w:val="none"/>
        </w:rPr>
      </w:pPr>
      <w:r>
        <w:rPr>
          <w:rFonts w:hint="eastAsia" w:ascii="宋体" w:hAnsi="宋体"/>
          <w:color w:val="auto"/>
          <w:highlight w:val="none"/>
        </w:rPr>
        <w:t xml:space="preserve">2.1  </w:t>
      </w:r>
      <w:r>
        <w:rPr>
          <w:rFonts w:hint="eastAsia" w:ascii="宋体" w:hAnsi="宋体"/>
          <w:color w:val="auto"/>
          <w:szCs w:val="21"/>
          <w:highlight w:val="none"/>
        </w:rPr>
        <w:t>投标人未按照招标文件的要求提供投标保证金的；</w:t>
      </w:r>
      <w:r>
        <w:rPr>
          <w:rFonts w:ascii="宋体" w:hAnsi="宋体"/>
          <w:color w:val="auto"/>
          <w:szCs w:val="21"/>
          <w:highlight w:val="none"/>
        </w:rPr>
        <w:t xml:space="preserve">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2.2  投标文件无法定代表人签字或盖章，或签字人无法定代表人有效授权委托书原件的；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2.3  投标人资格条件不符合国家有关规定和招标文件要求；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2.4  投标总价或分项报价超过预算控制金额的；</w:t>
      </w:r>
      <w:r>
        <w:rPr>
          <w:rFonts w:ascii="宋体" w:hAnsi="宋体"/>
          <w:color w:val="auto"/>
          <w:szCs w:val="21"/>
          <w:highlight w:val="none"/>
        </w:rPr>
        <w:t xml:space="preserve">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2.5  开标一览表出现无报价或报价为零或有选择性报价的；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2.6  </w:t>
      </w:r>
      <w:r>
        <w:rPr>
          <w:rFonts w:hint="eastAsia" w:ascii="宋体" w:hAnsi="宋体"/>
          <w:color w:val="auto"/>
          <w:spacing w:val="-2"/>
          <w:szCs w:val="21"/>
          <w:highlight w:val="none"/>
        </w:rPr>
        <w:t>投标人以他人的名义投标、串通投标、以行贿手段谋取中标或者以其他弄虚作假方式投标；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2.7  </w:t>
      </w:r>
      <w:r>
        <w:rPr>
          <w:rFonts w:hint="eastAsia" w:ascii="宋体" w:hAnsi="宋体"/>
          <w:color w:val="auto"/>
          <w:spacing w:val="-2"/>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2.8  投标人拒不按照要求对投标文件进行澄清、说明或者补正的；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2.9  文件的关键内容字迹模糊、无法辨认的；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2.10  投标函未按规定填写的；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2.11  投标有效期不足的；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2.12  </w:t>
      </w:r>
      <w:r>
        <w:rPr>
          <w:rFonts w:hint="eastAsia" w:ascii="宋体" w:hAnsi="宋体"/>
          <w:color w:val="auto"/>
          <w:spacing w:val="-6"/>
          <w:szCs w:val="21"/>
          <w:highlight w:val="none"/>
        </w:rPr>
        <w:t>投标人的投标未能在实质上响应招标文件提出的所有实质性要求和条件（不可偏离条款）的；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2.13  </w:t>
      </w:r>
      <w:r>
        <w:rPr>
          <w:rFonts w:ascii="宋体" w:hAnsi="宋体"/>
          <w:color w:val="auto"/>
          <w:szCs w:val="21"/>
          <w:highlight w:val="none"/>
        </w:rPr>
        <w:t>投标报价有严重缺漏项目的</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2.14  联合体投标未附联合体各方共同投标协议的；联合体成员</w:t>
      </w:r>
      <w:r>
        <w:rPr>
          <w:rFonts w:ascii="宋体" w:hAnsi="宋体"/>
          <w:color w:val="auto"/>
          <w:szCs w:val="21"/>
          <w:highlight w:val="none"/>
        </w:rPr>
        <w:t>再以自己名义单独投标，</w:t>
      </w:r>
      <w:r>
        <w:rPr>
          <w:rFonts w:hint="eastAsia" w:ascii="宋体" w:hAnsi="宋体"/>
          <w:color w:val="auto"/>
          <w:szCs w:val="21"/>
          <w:highlight w:val="none"/>
        </w:rPr>
        <w:t>及</w:t>
      </w:r>
      <w:r>
        <w:rPr>
          <w:rFonts w:ascii="宋体" w:hAnsi="宋体"/>
          <w:color w:val="auto"/>
          <w:szCs w:val="21"/>
          <w:highlight w:val="none"/>
        </w:rPr>
        <w:t>组成或参加其他联合体在同一项目中投标</w:t>
      </w:r>
      <w:r>
        <w:rPr>
          <w:rFonts w:hint="eastAsia" w:ascii="宋体" w:hAnsi="宋体"/>
          <w:color w:val="auto"/>
          <w:szCs w:val="21"/>
          <w:highlight w:val="none"/>
        </w:rPr>
        <w:t>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2.15  </w:t>
      </w:r>
      <w:r>
        <w:rPr>
          <w:rFonts w:ascii="宋体" w:hAnsi="宋体"/>
          <w:color w:val="auto"/>
          <w:szCs w:val="21"/>
          <w:highlight w:val="none"/>
        </w:rPr>
        <w:t>投标人递交两份或多份内容不同</w:t>
      </w:r>
      <w:r>
        <w:rPr>
          <w:rFonts w:hint="eastAsia" w:ascii="宋体" w:hAnsi="宋体"/>
          <w:color w:val="auto"/>
          <w:szCs w:val="21"/>
          <w:highlight w:val="none"/>
        </w:rPr>
        <w:t>投标方案（</w:t>
      </w:r>
      <w:r>
        <w:rPr>
          <w:rFonts w:ascii="宋体" w:hAnsi="宋体"/>
          <w:color w:val="auto"/>
          <w:szCs w:val="21"/>
          <w:highlight w:val="none"/>
        </w:rPr>
        <w:t>招标文件规定提交备选投标方案的除外</w:t>
      </w:r>
      <w:r>
        <w:rPr>
          <w:rFonts w:hint="eastAsia" w:ascii="宋体" w:hAnsi="宋体"/>
          <w:color w:val="auto"/>
          <w:szCs w:val="21"/>
          <w:highlight w:val="none"/>
        </w:rPr>
        <w:t>）</w:t>
      </w:r>
      <w:r>
        <w:rPr>
          <w:rFonts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2.16  投标文件只对</w:t>
      </w:r>
      <w:r>
        <w:rPr>
          <w:rFonts w:ascii="宋体" w:hAnsi="宋体"/>
          <w:color w:val="auto"/>
          <w:szCs w:val="21"/>
          <w:highlight w:val="none"/>
        </w:rPr>
        <w:t>同一</w:t>
      </w:r>
      <w:r>
        <w:rPr>
          <w:rFonts w:hint="eastAsia" w:ascii="宋体" w:hAnsi="宋体"/>
          <w:color w:val="auto"/>
          <w:szCs w:val="21"/>
          <w:highlight w:val="none"/>
        </w:rPr>
        <w:t>项目</w:t>
      </w:r>
      <w:r>
        <w:rPr>
          <w:rFonts w:ascii="宋体" w:hAnsi="宋体"/>
          <w:color w:val="auto"/>
          <w:szCs w:val="21"/>
          <w:highlight w:val="none"/>
        </w:rPr>
        <w:t>包中的</w:t>
      </w:r>
      <w:r>
        <w:rPr>
          <w:rFonts w:hint="eastAsia" w:ascii="宋体" w:hAnsi="宋体"/>
          <w:color w:val="auto"/>
          <w:szCs w:val="21"/>
          <w:highlight w:val="none"/>
        </w:rPr>
        <w:t>部分</w:t>
      </w:r>
      <w:r>
        <w:rPr>
          <w:rFonts w:ascii="宋体" w:hAnsi="宋体"/>
          <w:color w:val="auto"/>
          <w:szCs w:val="21"/>
          <w:highlight w:val="none"/>
        </w:rPr>
        <w:t>内容</w:t>
      </w:r>
      <w:r>
        <w:rPr>
          <w:rFonts w:hint="eastAsia" w:ascii="宋体" w:hAnsi="宋体"/>
          <w:color w:val="auto"/>
          <w:szCs w:val="21"/>
          <w:highlight w:val="none"/>
        </w:rPr>
        <w:t>投标，或把</w:t>
      </w:r>
      <w:r>
        <w:rPr>
          <w:rFonts w:ascii="宋体" w:hAnsi="宋体"/>
          <w:color w:val="auto"/>
          <w:szCs w:val="21"/>
          <w:highlight w:val="none"/>
        </w:rPr>
        <w:t>同一</w:t>
      </w:r>
      <w:r>
        <w:rPr>
          <w:rFonts w:hint="eastAsia" w:ascii="宋体" w:hAnsi="宋体"/>
          <w:color w:val="auto"/>
          <w:szCs w:val="21"/>
          <w:highlight w:val="none"/>
        </w:rPr>
        <w:t>项目</w:t>
      </w:r>
      <w:r>
        <w:rPr>
          <w:rFonts w:ascii="宋体" w:hAnsi="宋体"/>
          <w:color w:val="auto"/>
          <w:szCs w:val="21"/>
          <w:highlight w:val="none"/>
        </w:rPr>
        <w:t>包中</w:t>
      </w:r>
      <w:r>
        <w:rPr>
          <w:rFonts w:hint="eastAsia" w:ascii="宋体" w:hAnsi="宋体"/>
          <w:color w:val="auto"/>
          <w:szCs w:val="21"/>
          <w:highlight w:val="none"/>
        </w:rPr>
        <w:t>的内容拆开的投标；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2.17  评标委员会根据招标文件的规定对投标文件的计算错误进行修正，投标人不接受修正后的投标报价的；</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2.18  投标文件符合法律、法规及</w:t>
      </w:r>
      <w:r>
        <w:rPr>
          <w:rFonts w:hint="eastAsia" w:ascii="宋体" w:hAnsi="宋体"/>
          <w:color w:val="auto"/>
          <w:highlight w:val="none"/>
        </w:rPr>
        <w:t>招标文件中规定的其他否决因素的。</w:t>
      </w:r>
    </w:p>
    <w:p>
      <w:pPr>
        <w:spacing w:line="440" w:lineRule="exact"/>
        <w:jc w:val="center"/>
        <w:rPr>
          <w:rFonts w:ascii="黑体" w:hAnsi="宋体" w:eastAsia="黑体"/>
          <w:bCs/>
          <w:color w:val="auto"/>
          <w:sz w:val="24"/>
          <w:szCs w:val="24"/>
          <w:highlight w:val="none"/>
        </w:rPr>
      </w:pPr>
    </w:p>
    <w:p>
      <w:pPr>
        <w:jc w:val="center"/>
        <w:outlineLvl w:val="1"/>
        <w:rPr>
          <w:rFonts w:ascii="微软雅黑" w:hAnsi="微软雅黑" w:eastAsia="微软雅黑" w:cs="微软雅黑"/>
          <w:b/>
          <w:color w:val="auto"/>
          <w:sz w:val="24"/>
          <w:szCs w:val="24"/>
          <w:highlight w:val="none"/>
        </w:rPr>
      </w:pPr>
      <w:bookmarkStart w:id="9" w:name="_Toc921"/>
      <w:r>
        <w:rPr>
          <w:rFonts w:hint="eastAsia" w:ascii="微软雅黑" w:hAnsi="微软雅黑" w:eastAsia="微软雅黑" w:cs="微软雅黑"/>
          <w:b/>
          <w:color w:val="auto"/>
          <w:sz w:val="24"/>
          <w:szCs w:val="24"/>
          <w:highlight w:val="none"/>
        </w:rPr>
        <w:t>第六节  评标方法及程序</w:t>
      </w:r>
      <w:bookmarkEnd w:id="9"/>
    </w:p>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一、本项目评标及定标方法</w:t>
      </w:r>
    </w:p>
    <w:tbl>
      <w:tblPr>
        <w:tblStyle w:val="6"/>
        <w:tblW w:w="92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5"/>
        <w:gridCol w:w="1770"/>
        <w:gridCol w:w="66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blHeader/>
          <w:jc w:val="center"/>
        </w:trPr>
        <w:tc>
          <w:tcPr>
            <w:tcW w:w="785" w:type="dxa"/>
            <w:vAlign w:val="center"/>
          </w:tcPr>
          <w:p>
            <w:pPr>
              <w:spacing w:line="440" w:lineRule="exact"/>
              <w:jc w:val="center"/>
              <w:rPr>
                <w:rFonts w:ascii="宋体" w:hAnsi="宋体" w:eastAsiaTheme="minorEastAsia" w:cstheme="minorBidi"/>
                <w:b/>
                <w:bCs/>
                <w:color w:val="auto"/>
                <w:szCs w:val="21"/>
                <w:highlight w:val="none"/>
              </w:rPr>
            </w:pPr>
            <w:r>
              <w:rPr>
                <w:rFonts w:hint="eastAsia" w:ascii="宋体" w:hAnsi="宋体" w:eastAsiaTheme="minorEastAsia" w:cstheme="minorBidi"/>
                <w:b/>
                <w:bCs/>
                <w:color w:val="auto"/>
                <w:szCs w:val="21"/>
                <w:highlight w:val="none"/>
              </w:rPr>
              <w:t>序号</w:t>
            </w:r>
          </w:p>
        </w:tc>
        <w:tc>
          <w:tcPr>
            <w:tcW w:w="1770" w:type="dxa"/>
            <w:vAlign w:val="center"/>
          </w:tcPr>
          <w:p>
            <w:pPr>
              <w:spacing w:line="440" w:lineRule="exact"/>
              <w:jc w:val="center"/>
              <w:rPr>
                <w:rFonts w:ascii="宋体" w:hAnsi="宋体" w:eastAsiaTheme="minorEastAsia" w:cstheme="minorBidi"/>
                <w:b/>
                <w:bCs/>
                <w:color w:val="auto"/>
                <w:szCs w:val="21"/>
                <w:highlight w:val="none"/>
              </w:rPr>
            </w:pPr>
            <w:r>
              <w:rPr>
                <w:rFonts w:hint="eastAsia" w:ascii="宋体" w:hAnsi="宋体" w:eastAsiaTheme="minorEastAsia" w:cstheme="minorBidi"/>
                <w:b/>
                <w:bCs/>
                <w:color w:val="auto"/>
                <w:szCs w:val="21"/>
                <w:highlight w:val="none"/>
              </w:rPr>
              <w:t>项目</w:t>
            </w:r>
          </w:p>
        </w:tc>
        <w:tc>
          <w:tcPr>
            <w:tcW w:w="6660" w:type="dxa"/>
            <w:vAlign w:val="center"/>
          </w:tcPr>
          <w:p>
            <w:pPr>
              <w:spacing w:line="440" w:lineRule="exact"/>
              <w:jc w:val="center"/>
              <w:rPr>
                <w:rFonts w:ascii="宋体" w:hAnsi="宋体" w:eastAsiaTheme="minorEastAsia" w:cstheme="minorBidi"/>
                <w:b/>
                <w:bCs/>
                <w:color w:val="auto"/>
                <w:szCs w:val="21"/>
                <w:highlight w:val="none"/>
              </w:rPr>
            </w:pPr>
            <w:r>
              <w:rPr>
                <w:rFonts w:hint="eastAsia" w:ascii="宋体" w:hAnsi="宋体" w:eastAsiaTheme="minorEastAsia" w:cstheme="minorBidi"/>
                <w:b/>
                <w:bCs/>
                <w:color w:val="auto"/>
                <w:szCs w:val="21"/>
                <w:highlight w:val="none"/>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1</w:t>
            </w:r>
          </w:p>
        </w:tc>
        <w:tc>
          <w:tcPr>
            <w:tcW w:w="1770" w:type="dxa"/>
            <w:vAlign w:val="center"/>
          </w:tcPr>
          <w:p>
            <w:pPr>
              <w:spacing w:line="440" w:lineRule="exact"/>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定标方式</w:t>
            </w:r>
          </w:p>
        </w:tc>
        <w:tc>
          <w:tcPr>
            <w:tcW w:w="6660" w:type="dxa"/>
            <w:vAlign w:val="center"/>
          </w:tcPr>
          <w:p>
            <w:pPr>
              <w:spacing w:line="440" w:lineRule="exact"/>
              <w:rPr>
                <w:rFonts w:ascii="宋体" w:hAnsi="宋体" w:eastAsiaTheme="minorEastAsia" w:cstheme="minorBidi"/>
                <w:b/>
                <w:bCs/>
                <w:color w:val="auto"/>
                <w:szCs w:val="21"/>
                <w:highlight w:val="none"/>
              </w:rPr>
            </w:pPr>
            <w:r>
              <w:rPr>
                <w:rFonts w:hint="eastAsia" w:ascii="MS Mincho" w:hAnsi="MS Mincho" w:cs="MS Mincho" w:eastAsiaTheme="minorEastAsia"/>
                <w:snapToGrid w:val="0"/>
                <w:color w:val="auto"/>
                <w:kern w:val="0"/>
                <w:szCs w:val="21"/>
                <w:highlight w:val="none"/>
              </w:rPr>
              <w:t xml:space="preserve">■ </w:t>
            </w:r>
            <w:r>
              <w:rPr>
                <w:rFonts w:hint="eastAsia" w:ascii="宋体" w:hAnsi="宋体" w:eastAsiaTheme="minorEastAsia" w:cstheme="minorBidi"/>
                <w:color w:val="auto"/>
                <w:szCs w:val="21"/>
                <w:highlight w:val="none"/>
              </w:rPr>
              <w:t xml:space="preserve">授权评标委员会确定中标单位   </w:t>
            </w:r>
            <w:r>
              <w:rPr>
                <w:rFonts w:hint="eastAsia" w:ascii="宋体" w:hAnsi="宋体" w:eastAsiaTheme="minorEastAsia" w:cstheme="minorBidi"/>
                <w:snapToGrid w:val="0"/>
                <w:color w:val="auto"/>
                <w:kern w:val="0"/>
                <w:szCs w:val="21"/>
                <w:highlight w:val="none"/>
              </w:rPr>
              <w:t xml:space="preserve">□ </w:t>
            </w:r>
            <w:r>
              <w:rPr>
                <w:rFonts w:hint="eastAsia" w:asciiTheme="minorHAnsi" w:hAnsiTheme="minorHAnsi" w:eastAsiaTheme="minorEastAsia" w:cstheme="minorBidi"/>
                <w:color w:val="auto"/>
                <w:szCs w:val="22"/>
                <w:highlight w:val="none"/>
              </w:rPr>
              <w:t>评标和定标分离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2</w:t>
            </w:r>
          </w:p>
        </w:tc>
        <w:tc>
          <w:tcPr>
            <w:tcW w:w="1770" w:type="dxa"/>
            <w:vAlign w:val="center"/>
          </w:tcPr>
          <w:p>
            <w:pPr>
              <w:spacing w:line="440" w:lineRule="exact"/>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评标方法</w:t>
            </w:r>
          </w:p>
        </w:tc>
        <w:tc>
          <w:tcPr>
            <w:tcW w:w="6660" w:type="dxa"/>
            <w:vAlign w:val="center"/>
          </w:tcPr>
          <w:p>
            <w:pPr>
              <w:spacing w:line="440" w:lineRule="exact"/>
              <w:rPr>
                <w:rFonts w:ascii="宋体" w:hAnsi="宋体" w:eastAsiaTheme="minorEastAsia" w:cstheme="minorBidi"/>
                <w:b/>
                <w:bCs/>
                <w:color w:val="auto"/>
                <w:szCs w:val="21"/>
                <w:highlight w:val="none"/>
              </w:rPr>
            </w:pPr>
            <w:r>
              <w:rPr>
                <w:rFonts w:hint="eastAsia" w:ascii="MS Mincho" w:hAnsi="MS Mincho" w:cs="MS Mincho" w:eastAsiaTheme="minorEastAsia"/>
                <w:snapToGrid w:val="0"/>
                <w:color w:val="auto"/>
                <w:kern w:val="0"/>
                <w:szCs w:val="21"/>
                <w:highlight w:val="none"/>
              </w:rPr>
              <w:t xml:space="preserve">■ </w:t>
            </w:r>
            <w:r>
              <w:rPr>
                <w:rFonts w:hint="eastAsia" w:ascii="宋体" w:hAnsi="宋体" w:eastAsiaTheme="minorEastAsia" w:cstheme="minorBidi"/>
                <w:color w:val="auto"/>
                <w:szCs w:val="21"/>
                <w:highlight w:val="none"/>
              </w:rPr>
              <w:t xml:space="preserve">综合评分法    </w:t>
            </w:r>
            <w:r>
              <w:rPr>
                <w:rFonts w:ascii="宋体" w:hAnsi="宋体" w:eastAsiaTheme="minorEastAsia" w:cstheme="minorBidi"/>
                <w:color w:val="auto"/>
                <w:szCs w:val="21"/>
                <w:highlight w:val="none"/>
              </w:rPr>
              <w:t xml:space="preserve">               </w:t>
            </w:r>
            <w:r>
              <w:rPr>
                <w:rFonts w:hint="eastAsia" w:ascii="宋体" w:hAnsi="宋体" w:eastAsiaTheme="minorEastAsia" w:cstheme="minorBidi"/>
                <w:snapToGrid w:val="0"/>
                <w:color w:val="auto"/>
                <w:kern w:val="0"/>
                <w:szCs w:val="21"/>
                <w:highlight w:val="none"/>
              </w:rPr>
              <w:t xml:space="preserve">□ </w:t>
            </w:r>
            <w:r>
              <w:rPr>
                <w:rFonts w:hint="eastAsia" w:ascii="Calibri" w:hAnsi="Calibri" w:eastAsiaTheme="minorEastAsia" w:cstheme="minorBidi"/>
                <w:color w:val="auto"/>
                <w:szCs w:val="21"/>
                <w:highlight w:val="none"/>
              </w:rPr>
              <w:t>最低价法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color w:val="auto"/>
                <w:szCs w:val="21"/>
                <w:highlight w:val="none"/>
              </w:rPr>
            </w:pPr>
            <w:r>
              <w:rPr>
                <w:rFonts w:ascii="宋体" w:hAnsi="宋体" w:eastAsiaTheme="minorEastAsia" w:cstheme="minorBidi"/>
                <w:bCs/>
                <w:color w:val="auto"/>
                <w:szCs w:val="21"/>
                <w:highlight w:val="none"/>
              </w:rPr>
              <w:t>3</w:t>
            </w:r>
          </w:p>
        </w:tc>
        <w:tc>
          <w:tcPr>
            <w:tcW w:w="1770" w:type="dxa"/>
            <w:vAlign w:val="center"/>
          </w:tcPr>
          <w:p>
            <w:pPr>
              <w:spacing w:line="440" w:lineRule="exact"/>
              <w:rPr>
                <w:rFonts w:ascii="宋体" w:hAnsi="宋体" w:eastAsiaTheme="minorEastAsia" w:cstheme="minorBidi"/>
                <w:bCs/>
                <w:color w:val="auto"/>
                <w:szCs w:val="21"/>
                <w:highlight w:val="none"/>
              </w:rPr>
            </w:pPr>
            <w:r>
              <w:rPr>
                <w:rFonts w:hint="eastAsia" w:ascii="宋体" w:hAnsi="宋体" w:eastAsiaTheme="minorEastAsia" w:cstheme="minorBidi"/>
                <w:bCs/>
                <w:color w:val="auto"/>
                <w:szCs w:val="21"/>
                <w:highlight w:val="none"/>
              </w:rPr>
              <w:t>价格评审优惠政策</w:t>
            </w:r>
          </w:p>
        </w:tc>
        <w:tc>
          <w:tcPr>
            <w:tcW w:w="6660" w:type="dxa"/>
            <w:vAlign w:val="center"/>
          </w:tcPr>
          <w:p>
            <w:pPr>
              <w:spacing w:line="440" w:lineRule="exact"/>
              <w:rPr>
                <w:rFonts w:asciiTheme="majorEastAsia" w:hAnsiTheme="majorEastAsia" w:eastAsiaTheme="majorEastAsia" w:cstheme="majorEastAsia"/>
                <w:color w:val="auto"/>
                <w:szCs w:val="22"/>
                <w:highlight w:val="none"/>
              </w:rPr>
            </w:pPr>
            <w:r>
              <w:rPr>
                <w:rFonts w:hint="eastAsia" w:asciiTheme="majorEastAsia" w:hAnsiTheme="majorEastAsia" w:eastAsiaTheme="majorEastAsia" w:cstheme="majorEastAsia"/>
                <w:color w:val="auto"/>
                <w:szCs w:val="22"/>
                <w:highlight w:val="none"/>
              </w:rPr>
              <w:t>1、小型企业、微型企业、监狱企业、残疾人福利性单位承接服务，对其价格给予10%的扣除，用扣除后的价格参与评审。满足多项优惠政策的企业，不重复享受多项价格扣除政策。</w:t>
            </w:r>
          </w:p>
          <w:p>
            <w:pPr>
              <w:spacing w:line="440" w:lineRule="exact"/>
              <w:rPr>
                <w:rFonts w:asciiTheme="majorEastAsia" w:hAnsiTheme="majorEastAsia" w:eastAsiaTheme="majorEastAsia" w:cstheme="majorEastAsia"/>
                <w:color w:val="auto"/>
                <w:szCs w:val="22"/>
                <w:highlight w:val="none"/>
              </w:rPr>
            </w:pPr>
            <w:r>
              <w:rPr>
                <w:rFonts w:hint="eastAsia" w:asciiTheme="majorEastAsia" w:hAnsiTheme="majorEastAsia" w:eastAsiaTheme="majorEastAsia" w:cstheme="majorEastAsia"/>
                <w:color w:val="auto"/>
                <w:szCs w:val="22"/>
                <w:highlight w:val="none"/>
              </w:rPr>
              <w:t>2、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扣除，用扣除后的价格参加评审。联合体各方均为小微企业的，价格扣除比例为10%。</w:t>
            </w:r>
            <w:r>
              <w:rPr>
                <w:rFonts w:hint="eastAsia" w:asciiTheme="majorEastAsia" w:hAnsiTheme="majorEastAsia" w:eastAsiaTheme="majorEastAsia" w:cstheme="majorEastAsia"/>
                <w:b/>
                <w:color w:val="auto"/>
                <w:szCs w:val="22"/>
                <w:highlight w:val="none"/>
              </w:rPr>
              <w:t>（不接受联合体投标的项目，本条不适用）</w:t>
            </w:r>
            <w:r>
              <w:rPr>
                <w:rFonts w:hint="eastAsia" w:asciiTheme="majorEastAsia" w:hAnsiTheme="majorEastAsia" w:eastAsiaTheme="majorEastAsia" w:cstheme="majorEastAsia"/>
                <w:color w:val="auto"/>
                <w:szCs w:val="22"/>
                <w:highlight w:val="none"/>
              </w:rPr>
              <w:t>。</w:t>
            </w:r>
          </w:p>
          <w:p>
            <w:pPr>
              <w:spacing w:line="440" w:lineRule="exact"/>
              <w:rPr>
                <w:rFonts w:ascii="宋体" w:hAnsi="宋体" w:eastAsiaTheme="minorEastAsia" w:cstheme="minorBidi"/>
                <w:b/>
                <w:bCs/>
                <w:color w:val="auto"/>
                <w:szCs w:val="21"/>
                <w:highlight w:val="none"/>
              </w:rPr>
            </w:pPr>
            <w:r>
              <w:rPr>
                <w:rFonts w:hint="eastAsia" w:asciiTheme="majorEastAsia" w:hAnsiTheme="majorEastAsia" w:eastAsiaTheme="majorEastAsia" w:cstheme="majorEastAsia"/>
                <w:color w:val="auto"/>
                <w:szCs w:val="22"/>
                <w:highlight w:val="none"/>
              </w:rPr>
              <w:t>3、优惠主体资格的认定资料为《中小企业声明函》《残疾人福利性单位声明函》《监狱企业声明函》等承诺性质的资料（声明函样式见“第五章 投标文件格式”）；监狱企业如需享受优惠政策，除上述资料外，还须提供省级以上监狱管理局、戒毒管理局出具的监狱企业证明文件。</w:t>
            </w:r>
          </w:p>
        </w:tc>
      </w:tr>
    </w:tbl>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备注：</w:t>
      </w:r>
      <w:r>
        <w:rPr>
          <w:rFonts w:hint="eastAsia" w:ascii="宋体" w:hAnsi="宋体"/>
          <w:snapToGrid w:val="0"/>
          <w:color w:val="auto"/>
          <w:kern w:val="0"/>
          <w:szCs w:val="21"/>
          <w:highlight w:val="none"/>
        </w:rPr>
        <w:t>用“</w:t>
      </w:r>
      <w:r>
        <w:rPr>
          <w:rFonts w:hint="eastAsia" w:ascii="MS Mincho" w:hAnsi="MS Mincho" w:cs="MS Mincho" w:eastAsiaTheme="minorEastAsia"/>
          <w:snapToGrid w:val="0"/>
          <w:color w:val="auto"/>
          <w:kern w:val="0"/>
          <w:szCs w:val="21"/>
          <w:highlight w:val="none"/>
        </w:rPr>
        <w:t>■</w:t>
      </w:r>
      <w:r>
        <w:rPr>
          <w:rFonts w:hint="eastAsia" w:ascii="宋体" w:hAnsi="宋体"/>
          <w:snapToGrid w:val="0"/>
          <w:color w:val="auto"/>
          <w:kern w:val="0"/>
          <w:szCs w:val="21"/>
          <w:highlight w:val="none"/>
        </w:rPr>
        <w:t>”标识时表明该选项被采购人选用，用“□”标识时表明该选项未被采购人选用。</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二、本项目评标信息</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w:t>
      </w:r>
      <w:r>
        <w:rPr>
          <w:rFonts w:ascii="宋体" w:hAnsi="宋体"/>
          <w:b/>
          <w:bCs/>
          <w:color w:val="auto"/>
          <w:szCs w:val="21"/>
          <w:highlight w:val="none"/>
        </w:rPr>
        <w:t>符合性检查表</w:t>
      </w:r>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7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2" w:type="dxa"/>
            <w:vAlign w:val="center"/>
          </w:tcPr>
          <w:p>
            <w:pPr>
              <w:spacing w:line="440" w:lineRule="exact"/>
              <w:jc w:val="center"/>
              <w:rPr>
                <w:rFonts w:ascii="宋体" w:hAnsi="宋体"/>
                <w:b/>
                <w:color w:val="auto"/>
                <w:highlight w:val="none"/>
              </w:rPr>
            </w:pPr>
            <w:r>
              <w:rPr>
                <w:rFonts w:ascii="宋体" w:hAnsi="宋体"/>
                <w:b/>
                <w:color w:val="auto"/>
                <w:highlight w:val="none"/>
              </w:rPr>
              <w:t>序号</w:t>
            </w:r>
          </w:p>
        </w:tc>
        <w:tc>
          <w:tcPr>
            <w:tcW w:w="6706" w:type="dxa"/>
            <w:vAlign w:val="center"/>
          </w:tcPr>
          <w:p>
            <w:pPr>
              <w:spacing w:line="440" w:lineRule="exact"/>
              <w:ind w:left="-828" w:firstLine="828"/>
              <w:jc w:val="center"/>
              <w:rPr>
                <w:rFonts w:ascii="宋体" w:hAnsi="宋体"/>
                <w:b/>
                <w:color w:val="auto"/>
                <w:sz w:val="24"/>
                <w:highlight w:val="none"/>
              </w:rPr>
            </w:pPr>
            <w:r>
              <w:rPr>
                <w:rFonts w:ascii="宋体" w:hAnsi="宋体"/>
                <w:b/>
                <w:color w:val="auto"/>
                <w:highlight w:val="none"/>
              </w:rPr>
              <w:t>评议内容</w:t>
            </w:r>
          </w:p>
        </w:tc>
        <w:tc>
          <w:tcPr>
            <w:tcW w:w="1497" w:type="dxa"/>
            <w:vAlign w:val="center"/>
          </w:tcPr>
          <w:p>
            <w:pPr>
              <w:spacing w:line="440" w:lineRule="exact"/>
              <w:ind w:left="44" w:hanging="44"/>
              <w:jc w:val="center"/>
              <w:rPr>
                <w:rFonts w:ascii="宋体" w:hAnsi="宋体"/>
                <w:b/>
                <w:color w:val="auto"/>
                <w:sz w:val="24"/>
                <w:highlight w:val="none"/>
              </w:rPr>
            </w:pPr>
            <w:r>
              <w:rPr>
                <w:rFonts w:ascii="宋体" w:hAnsi="宋体"/>
                <w:b/>
                <w:color w:val="auto"/>
                <w:highlight w:val="none"/>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1</w:t>
            </w:r>
          </w:p>
        </w:tc>
        <w:tc>
          <w:tcPr>
            <w:tcW w:w="6706" w:type="dxa"/>
            <w:vAlign w:val="center"/>
          </w:tcPr>
          <w:p>
            <w:pPr>
              <w:spacing w:line="440" w:lineRule="exact"/>
              <w:rPr>
                <w:rFonts w:ascii="宋体" w:hAnsi="宋体"/>
                <w:color w:val="auto"/>
                <w:sz w:val="24"/>
                <w:highlight w:val="none"/>
              </w:rPr>
            </w:pPr>
            <w:r>
              <w:rPr>
                <w:rFonts w:hint="eastAsia" w:hAnsi="宋体"/>
                <w:color w:val="auto"/>
                <w:szCs w:val="21"/>
                <w:highlight w:val="none"/>
              </w:rPr>
              <w:t>按照招标文件的格式详细填写“投标函”</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2</w:t>
            </w:r>
          </w:p>
        </w:tc>
        <w:tc>
          <w:tcPr>
            <w:tcW w:w="6706" w:type="dxa"/>
            <w:vAlign w:val="center"/>
          </w:tcPr>
          <w:p>
            <w:pPr>
              <w:spacing w:line="440" w:lineRule="exact"/>
              <w:rPr>
                <w:rFonts w:ascii="宋体" w:hAnsi="宋体"/>
                <w:color w:val="auto"/>
                <w:highlight w:val="none"/>
              </w:rPr>
            </w:pPr>
            <w:r>
              <w:rPr>
                <w:rFonts w:hint="eastAsia" w:hAnsi="宋体"/>
                <w:color w:val="auto"/>
                <w:szCs w:val="21"/>
                <w:highlight w:val="none"/>
              </w:rPr>
              <w:t>按照招标文件的格式详细填写“</w:t>
            </w:r>
            <w:r>
              <w:rPr>
                <w:rFonts w:hint="eastAsia" w:ascii="宋体" w:hAnsi="宋体"/>
                <w:color w:val="auto"/>
                <w:highlight w:val="none"/>
              </w:rPr>
              <w:t>政府采购投标及履约承诺函</w:t>
            </w:r>
            <w:r>
              <w:rPr>
                <w:rFonts w:hint="eastAsia" w:hAnsi="宋体"/>
                <w:color w:val="auto"/>
                <w:szCs w:val="21"/>
                <w:highlight w:val="none"/>
              </w:rPr>
              <w:t>”</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3</w:t>
            </w:r>
          </w:p>
        </w:tc>
        <w:tc>
          <w:tcPr>
            <w:tcW w:w="6706" w:type="dxa"/>
            <w:vAlign w:val="center"/>
          </w:tcPr>
          <w:p>
            <w:pPr>
              <w:spacing w:line="440" w:lineRule="exact"/>
              <w:rPr>
                <w:rFonts w:ascii="宋体" w:hAnsi="宋体"/>
                <w:color w:val="auto"/>
                <w:highlight w:val="none"/>
              </w:rPr>
            </w:pPr>
            <w:r>
              <w:rPr>
                <w:rFonts w:hint="eastAsia" w:ascii="宋体" w:hAnsi="宋体"/>
                <w:color w:val="auto"/>
                <w:highlight w:val="none"/>
              </w:rPr>
              <w:t>开标一览表未出现无报价、报价为零或有选择性报价</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4</w:t>
            </w:r>
          </w:p>
        </w:tc>
        <w:tc>
          <w:tcPr>
            <w:tcW w:w="6706" w:type="dxa"/>
            <w:vAlign w:val="center"/>
          </w:tcPr>
          <w:p>
            <w:pPr>
              <w:spacing w:line="440" w:lineRule="exact"/>
              <w:rPr>
                <w:rFonts w:ascii="宋体" w:hAnsi="宋体"/>
                <w:color w:val="auto"/>
                <w:highlight w:val="none"/>
              </w:rPr>
            </w:pPr>
            <w:r>
              <w:rPr>
                <w:rFonts w:hint="eastAsia" w:ascii="宋体" w:hAnsi="宋体"/>
                <w:color w:val="auto"/>
                <w:highlight w:val="none"/>
              </w:rPr>
              <w:t>投标总价</w:t>
            </w:r>
            <w:r>
              <w:rPr>
                <w:rFonts w:hint="eastAsia" w:ascii="宋体" w:hAnsi="宋体"/>
                <w:color w:val="auto"/>
                <w:szCs w:val="21"/>
                <w:highlight w:val="none"/>
              </w:rPr>
              <w:t>或分项报价</w:t>
            </w:r>
            <w:r>
              <w:rPr>
                <w:rFonts w:hint="eastAsia" w:ascii="宋体" w:hAnsi="宋体"/>
                <w:color w:val="auto"/>
                <w:highlight w:val="none"/>
              </w:rPr>
              <w:t>未超过预算控制金额</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5</w:t>
            </w:r>
          </w:p>
        </w:tc>
        <w:tc>
          <w:tcPr>
            <w:tcW w:w="6706" w:type="dxa"/>
            <w:vAlign w:val="center"/>
          </w:tcPr>
          <w:p>
            <w:pPr>
              <w:spacing w:line="440" w:lineRule="exac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评标委员会认为投标人的报价明显低于其他通过符合性审查投标人的报价，有可能影响产品质量或者不能诚信履约的，投标人能在</w:t>
            </w:r>
            <w:r>
              <w:rPr>
                <w:rFonts w:hint="eastAsia" w:asciiTheme="minorEastAsia" w:hAnsiTheme="minorEastAsia" w:eastAsiaTheme="minorEastAsia"/>
                <w:color w:val="auto"/>
                <w:szCs w:val="21"/>
                <w:highlight w:val="none"/>
              </w:rPr>
              <w:t>评标现场</w:t>
            </w:r>
            <w:r>
              <w:rPr>
                <w:rFonts w:asciiTheme="minorEastAsia" w:hAnsiTheme="minorEastAsia" w:eastAsiaTheme="minorEastAsia"/>
                <w:color w:val="auto"/>
                <w:szCs w:val="21"/>
                <w:highlight w:val="none"/>
              </w:rPr>
              <w:t>合理的时间内提供书面说明</w:t>
            </w:r>
            <w:r>
              <w:rPr>
                <w:rFonts w:hint="eastAsia" w:asciiTheme="minorEastAsia" w:hAnsiTheme="minorEastAsia" w:eastAsiaTheme="minorEastAsia"/>
                <w:color w:val="auto"/>
                <w:szCs w:val="21"/>
                <w:highlight w:val="none"/>
              </w:rPr>
              <w:t>（必要时提交相关证明材料）</w:t>
            </w:r>
            <w:r>
              <w:rPr>
                <w:rFonts w:asciiTheme="minorEastAsia" w:hAnsiTheme="minorEastAsia" w:eastAsiaTheme="minorEastAsia"/>
                <w:color w:val="auto"/>
                <w:szCs w:val="21"/>
                <w:highlight w:val="none"/>
              </w:rPr>
              <w:t>或提交</w:t>
            </w:r>
            <w:r>
              <w:rPr>
                <w:rFonts w:hint="eastAsia" w:asciiTheme="minorEastAsia" w:hAnsiTheme="minorEastAsia" w:eastAsiaTheme="minorEastAsia"/>
                <w:color w:val="auto"/>
                <w:szCs w:val="21"/>
                <w:highlight w:val="none"/>
              </w:rPr>
              <w:t>的书面说明</w:t>
            </w:r>
            <w:r>
              <w:rPr>
                <w:rFonts w:asciiTheme="minorEastAsia" w:hAnsiTheme="minorEastAsia" w:eastAsiaTheme="minorEastAsia"/>
                <w:color w:val="auto"/>
                <w:szCs w:val="21"/>
                <w:highlight w:val="none"/>
              </w:rPr>
              <w:t>能证明其报价合理性</w:t>
            </w:r>
            <w:r>
              <w:rPr>
                <w:rFonts w:hint="eastAsia" w:asciiTheme="minorEastAsia" w:hAnsiTheme="minorEastAsia" w:eastAsiaTheme="minorEastAsia"/>
                <w:color w:val="auto"/>
                <w:szCs w:val="21"/>
                <w:highlight w:val="none"/>
              </w:rPr>
              <w:t>。（若</w:t>
            </w:r>
            <w:r>
              <w:rPr>
                <w:rFonts w:asciiTheme="minorEastAsia" w:hAnsiTheme="minorEastAsia" w:eastAsiaTheme="minorEastAsia"/>
                <w:color w:val="auto"/>
                <w:szCs w:val="21"/>
                <w:highlight w:val="none"/>
              </w:rPr>
              <w:t>评标委员会</w:t>
            </w:r>
            <w:r>
              <w:rPr>
                <w:rFonts w:hint="eastAsia" w:asciiTheme="minorEastAsia" w:hAnsiTheme="minorEastAsia" w:eastAsiaTheme="minorEastAsia"/>
                <w:color w:val="auto"/>
                <w:szCs w:val="21"/>
                <w:highlight w:val="none"/>
              </w:rPr>
              <w:t>成员对是否须由投标人做出报价合理性说明，以及书面说明是否采纳等判断不一致的，按照“少数服从多数”的原则确定。）</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6</w:t>
            </w:r>
          </w:p>
        </w:tc>
        <w:tc>
          <w:tcPr>
            <w:tcW w:w="6706" w:type="dxa"/>
            <w:vAlign w:val="center"/>
          </w:tcPr>
          <w:p>
            <w:pPr>
              <w:spacing w:line="440" w:lineRule="exact"/>
              <w:rPr>
                <w:rFonts w:ascii="宋体" w:hAnsi="宋体"/>
                <w:color w:val="auto"/>
                <w:highlight w:val="none"/>
              </w:rPr>
            </w:pPr>
            <w:r>
              <w:rPr>
                <w:color w:val="auto"/>
                <w:szCs w:val="21"/>
                <w:highlight w:val="none"/>
              </w:rPr>
              <w:t>实质性满足招标文件要求</w:t>
            </w:r>
            <w:r>
              <w:rPr>
                <w:rFonts w:hint="eastAsia"/>
                <w:color w:val="auto"/>
                <w:szCs w:val="21"/>
                <w:highlight w:val="none"/>
              </w:rPr>
              <w:t>和条件</w:t>
            </w:r>
            <w:r>
              <w:rPr>
                <w:color w:val="auto"/>
                <w:szCs w:val="21"/>
                <w:highlight w:val="none"/>
              </w:rPr>
              <w:t>（</w:t>
            </w:r>
            <w:r>
              <w:rPr>
                <w:rFonts w:hint="eastAsia" w:ascii="宋体" w:hAnsi="宋体"/>
                <w:color w:val="auto"/>
                <w:highlight w:val="none"/>
              </w:rPr>
              <w:t>不可偏离项检查</w:t>
            </w:r>
            <w:r>
              <w:rPr>
                <w:color w:val="auto"/>
                <w:szCs w:val="21"/>
                <w:highlight w:val="none"/>
              </w:rPr>
              <w:t>）</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7</w:t>
            </w:r>
          </w:p>
        </w:tc>
        <w:tc>
          <w:tcPr>
            <w:tcW w:w="6706" w:type="dxa"/>
            <w:vAlign w:val="center"/>
          </w:tcPr>
          <w:p>
            <w:pPr>
              <w:spacing w:line="440" w:lineRule="exact"/>
              <w:rPr>
                <w:color w:val="auto"/>
                <w:szCs w:val="21"/>
                <w:highlight w:val="none"/>
              </w:rPr>
            </w:pPr>
            <w:r>
              <w:rPr>
                <w:color w:val="auto"/>
                <w:szCs w:val="21"/>
                <w:highlight w:val="none"/>
              </w:rPr>
              <w:t>投标文件载明的项目服务期</w:t>
            </w:r>
            <w:r>
              <w:rPr>
                <w:rFonts w:hint="eastAsia"/>
                <w:color w:val="auto"/>
                <w:szCs w:val="21"/>
                <w:highlight w:val="none"/>
              </w:rPr>
              <w:t>符合</w:t>
            </w:r>
            <w:r>
              <w:rPr>
                <w:color w:val="auto"/>
                <w:szCs w:val="21"/>
                <w:highlight w:val="none"/>
              </w:rPr>
              <w:t>招标文件规定的期限</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8</w:t>
            </w:r>
          </w:p>
        </w:tc>
        <w:tc>
          <w:tcPr>
            <w:tcW w:w="6706" w:type="dxa"/>
            <w:vAlign w:val="center"/>
          </w:tcPr>
          <w:p>
            <w:pPr>
              <w:spacing w:line="440" w:lineRule="exact"/>
              <w:jc w:val="left"/>
              <w:rPr>
                <w:rFonts w:ascii="宋体" w:hAnsi="宋体"/>
                <w:color w:val="auto"/>
                <w:highlight w:val="none"/>
              </w:rPr>
            </w:pPr>
            <w:r>
              <w:rPr>
                <w:rFonts w:hint="eastAsia" w:hAnsi="宋体"/>
                <w:color w:val="auto"/>
                <w:szCs w:val="21"/>
                <w:highlight w:val="none"/>
              </w:rPr>
              <w:t>《技术偏离表》和《商务偏离表》已提交</w:t>
            </w:r>
          </w:p>
        </w:tc>
        <w:tc>
          <w:tcPr>
            <w:tcW w:w="1497" w:type="dxa"/>
            <w:vAlign w:val="center"/>
          </w:tcPr>
          <w:p>
            <w:pPr>
              <w:spacing w:line="440" w:lineRule="exact"/>
              <w:ind w:left="57"/>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9</w:t>
            </w:r>
          </w:p>
        </w:tc>
        <w:tc>
          <w:tcPr>
            <w:tcW w:w="6706" w:type="dxa"/>
            <w:vAlign w:val="center"/>
          </w:tcPr>
          <w:p>
            <w:pPr>
              <w:spacing w:line="440" w:lineRule="exact"/>
              <w:rPr>
                <w:rFonts w:ascii="宋体" w:hAnsi="宋体"/>
                <w:color w:val="auto"/>
                <w:highlight w:val="none"/>
              </w:rPr>
            </w:pPr>
            <w:r>
              <w:rPr>
                <w:rFonts w:hint="eastAsia" w:ascii="宋体" w:hAnsi="宋体"/>
                <w:color w:val="auto"/>
                <w:highlight w:val="none"/>
              </w:rPr>
              <w:t>不存在“否决性条款”列明的其他情况</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color w:val="auto"/>
                <w:highlight w:val="none"/>
              </w:rPr>
            </w:pPr>
            <w:r>
              <w:rPr>
                <w:rFonts w:hint="eastAsia" w:ascii="宋体" w:hAnsi="宋体"/>
                <w:color w:val="auto"/>
                <w:highlight w:val="none"/>
              </w:rPr>
              <w:t>10</w:t>
            </w:r>
          </w:p>
        </w:tc>
        <w:tc>
          <w:tcPr>
            <w:tcW w:w="6706" w:type="dxa"/>
            <w:vAlign w:val="center"/>
          </w:tcPr>
          <w:p>
            <w:pPr>
              <w:spacing w:line="440" w:lineRule="exact"/>
              <w:rPr>
                <w:rFonts w:ascii="宋体" w:hAnsi="宋体"/>
                <w:color w:val="auto"/>
                <w:szCs w:val="21"/>
                <w:highlight w:val="none"/>
              </w:rPr>
            </w:pPr>
            <w:r>
              <w:rPr>
                <w:rFonts w:ascii="宋体" w:hAnsi="宋体"/>
                <w:color w:val="auto"/>
                <w:szCs w:val="21"/>
                <w:highlight w:val="none"/>
              </w:rPr>
              <w:t>结论</w:t>
            </w:r>
          </w:p>
        </w:tc>
        <w:tc>
          <w:tcPr>
            <w:tcW w:w="1497" w:type="dxa"/>
            <w:vAlign w:val="center"/>
          </w:tcPr>
          <w:p>
            <w:pPr>
              <w:spacing w:line="440" w:lineRule="exact"/>
              <w:jc w:val="center"/>
              <w:rPr>
                <w:rFonts w:ascii="宋体" w:hAnsi="宋体"/>
                <w:color w:val="auto"/>
                <w:szCs w:val="21"/>
                <w:highlight w:val="none"/>
              </w:rPr>
            </w:pPr>
            <w:r>
              <w:rPr>
                <w:rFonts w:ascii="宋体" w:hAnsi="宋体"/>
                <w:color w:val="auto"/>
                <w:szCs w:val="21"/>
                <w:highlight w:val="none"/>
              </w:rPr>
              <w:t>通过/不通过</w:t>
            </w:r>
          </w:p>
        </w:tc>
      </w:tr>
    </w:tbl>
    <w:p>
      <w:pPr>
        <w:spacing w:line="340" w:lineRule="exact"/>
        <w:ind w:firstLine="422" w:firstLineChars="200"/>
        <w:rPr>
          <w:rFonts w:ascii="宋体" w:hAnsi="宋体"/>
          <w:b/>
          <w:color w:val="auto"/>
          <w:szCs w:val="21"/>
          <w:highlight w:val="none"/>
        </w:rPr>
      </w:pPr>
      <w:r>
        <w:rPr>
          <w:rFonts w:hint="eastAsia" w:ascii="宋体" w:hAnsi="宋体"/>
          <w:b/>
          <w:color w:val="auto"/>
          <w:szCs w:val="21"/>
          <w:highlight w:val="none"/>
        </w:rPr>
        <w:t>2、评分表</w:t>
      </w:r>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49"/>
        <w:gridCol w:w="1662"/>
        <w:gridCol w:w="679"/>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评分项</w:t>
            </w:r>
          </w:p>
        </w:tc>
        <w:tc>
          <w:tcPr>
            <w:tcW w:w="5413"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1</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价格</w:t>
            </w:r>
          </w:p>
        </w:tc>
        <w:tc>
          <w:tcPr>
            <w:tcW w:w="5413" w:type="dxa"/>
            <w:vAlign w:val="center"/>
          </w:tcPr>
          <w:p>
            <w:pPr>
              <w:spacing w:line="440" w:lineRule="exact"/>
              <w:jc w:val="center"/>
              <w:rPr>
                <w:rFonts w:hint="default" w:ascii="宋体" w:hAnsi="宋体" w:eastAsia="宋体"/>
                <w:b/>
                <w:color w:val="auto"/>
                <w:szCs w:val="21"/>
                <w:highlight w:val="none"/>
                <w:lang w:val="en-US" w:eastAsia="zh-CN"/>
              </w:rPr>
            </w:pPr>
            <w:r>
              <w:rPr>
                <w:rFonts w:hint="eastAsia" w:hAnsi="宋体"/>
                <w:b/>
                <w:color w:val="auto"/>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color w:val="auto"/>
                <w:szCs w:val="21"/>
                <w:highlight w:val="none"/>
              </w:rPr>
            </w:pPr>
          </w:p>
        </w:tc>
        <w:tc>
          <w:tcPr>
            <w:tcW w:w="8503" w:type="dxa"/>
            <w:gridSpan w:val="4"/>
            <w:vAlign w:val="center"/>
          </w:tcPr>
          <w:p>
            <w:pPr>
              <w:spacing w:line="44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投标报价价格分=（评标基准价/投标报价）×</w:t>
            </w:r>
            <w:r>
              <w:rPr>
                <w:rFonts w:hint="eastAsia" w:ascii="宋体" w:hAnsi="宋体"/>
                <w:color w:val="auto"/>
                <w:szCs w:val="21"/>
                <w:highlight w:val="none"/>
                <w:lang w:val="en-US" w:eastAsia="zh-CN"/>
              </w:rPr>
              <w:t>权重</w:t>
            </w:r>
          </w:p>
          <w:p>
            <w:pPr>
              <w:spacing w:line="440" w:lineRule="exact"/>
              <w:jc w:val="left"/>
              <w:rPr>
                <w:rFonts w:ascii="宋体" w:hAnsi="宋体"/>
                <w:color w:val="auto"/>
                <w:szCs w:val="21"/>
                <w:highlight w:val="none"/>
              </w:rPr>
            </w:pPr>
            <w:r>
              <w:rPr>
                <w:rFonts w:hint="eastAsia" w:ascii="宋体" w:hAnsi="宋体"/>
                <w:color w:val="auto"/>
                <w:szCs w:val="21"/>
                <w:highlight w:val="none"/>
              </w:rPr>
              <w:t>评标基准价为满足招标文件要求且投标价格最低的投标报价。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2</w:t>
            </w:r>
          </w:p>
        </w:tc>
        <w:tc>
          <w:tcPr>
            <w:tcW w:w="3090" w:type="dxa"/>
            <w:gridSpan w:val="3"/>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技术部分</w:t>
            </w:r>
          </w:p>
        </w:tc>
        <w:tc>
          <w:tcPr>
            <w:tcW w:w="5413" w:type="dxa"/>
            <w:vAlign w:val="center"/>
          </w:tcPr>
          <w:p>
            <w:pPr>
              <w:spacing w:line="440" w:lineRule="exact"/>
              <w:jc w:val="center"/>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rPr>
                <w:rFonts w:ascii="宋体" w:hAnsi="宋体"/>
                <w:color w:val="auto"/>
                <w:szCs w:val="21"/>
                <w:highlight w:val="none"/>
              </w:rPr>
            </w:pPr>
          </w:p>
        </w:tc>
        <w:tc>
          <w:tcPr>
            <w:tcW w:w="74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1662"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评分因素</w:t>
            </w:r>
          </w:p>
        </w:tc>
        <w:tc>
          <w:tcPr>
            <w:tcW w:w="679"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权重</w:t>
            </w:r>
          </w:p>
        </w:tc>
        <w:tc>
          <w:tcPr>
            <w:tcW w:w="5413" w:type="dxa"/>
            <w:vAlign w:val="center"/>
          </w:tcPr>
          <w:p>
            <w:pPr>
              <w:spacing w:line="440" w:lineRule="exact"/>
              <w:jc w:val="center"/>
              <w:rPr>
                <w:rFonts w:ascii="宋体" w:hAnsi="宋体"/>
                <w:b/>
                <w:color w:val="auto"/>
                <w:szCs w:val="21"/>
                <w:highlight w:val="none"/>
              </w:rPr>
            </w:pPr>
            <w:r>
              <w:rPr>
                <w:rFonts w:hint="eastAsia" w:ascii="宋体" w:hAnsi="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0"/>
              <w:rPr>
                <w:rFonts w:ascii="宋体" w:hAnsi="宋体"/>
                <w:color w:val="auto"/>
                <w:szCs w:val="21"/>
                <w:highlight w:val="none"/>
              </w:rPr>
            </w:pPr>
          </w:p>
        </w:tc>
        <w:tc>
          <w:tcPr>
            <w:tcW w:w="749" w:type="dxa"/>
            <w:vAlign w:val="center"/>
          </w:tcPr>
          <w:p>
            <w:pPr>
              <w:spacing w:line="440" w:lineRule="exact"/>
              <w:jc w:val="center"/>
              <w:rPr>
                <w:rFonts w:ascii="宋体" w:hAnsi="宋体"/>
                <w:color w:val="auto"/>
                <w:szCs w:val="21"/>
                <w:highlight w:val="none"/>
              </w:rPr>
            </w:pPr>
          </w:p>
        </w:tc>
        <w:tc>
          <w:tcPr>
            <w:tcW w:w="1662" w:type="dxa"/>
            <w:vAlign w:val="center"/>
          </w:tcPr>
          <w:p>
            <w:pPr>
              <w:autoSpaceDE w:val="0"/>
              <w:autoSpaceDN w:val="0"/>
              <w:adjustRightInd w:val="0"/>
              <w:spacing w:line="460" w:lineRule="exact"/>
              <w:jc w:val="center"/>
              <w:rPr>
                <w:rFonts w:ascii="宋体" w:hAnsi="宋体"/>
                <w:color w:val="auto"/>
                <w:szCs w:val="21"/>
                <w:highlight w:val="none"/>
              </w:rPr>
            </w:pPr>
          </w:p>
        </w:tc>
        <w:tc>
          <w:tcPr>
            <w:tcW w:w="679" w:type="dxa"/>
            <w:vAlign w:val="center"/>
          </w:tcPr>
          <w:p>
            <w:pPr>
              <w:autoSpaceDE w:val="0"/>
              <w:autoSpaceDN w:val="0"/>
              <w:adjustRightInd w:val="0"/>
              <w:spacing w:line="460" w:lineRule="exact"/>
              <w:jc w:val="center"/>
              <w:rPr>
                <w:rFonts w:ascii="宋体" w:hAnsi="宋体"/>
                <w:color w:val="auto"/>
                <w:szCs w:val="21"/>
                <w:highlight w:val="none"/>
              </w:rPr>
            </w:pPr>
          </w:p>
        </w:tc>
        <w:tc>
          <w:tcPr>
            <w:tcW w:w="5413" w:type="dxa"/>
            <w:vAlign w:val="center"/>
          </w:tcPr>
          <w:p>
            <w:pPr>
              <w:autoSpaceDE w:val="0"/>
              <w:autoSpaceDN w:val="0"/>
              <w:adjustRightInd w:val="0"/>
              <w:spacing w:line="46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实施方案</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5413"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（一）评审内容：</w:t>
            </w:r>
          </w:p>
          <w:p>
            <w:pP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整体项目服务实施方案应包括：</w:t>
            </w:r>
          </w:p>
          <w:p>
            <w:pPr>
              <w:pStyle w:val="4"/>
              <w:widowControl/>
              <w:numPr>
                <w:ilvl w:val="0"/>
                <w:numId w:val="1"/>
              </w:numPr>
              <w:spacing w:before="0" w:beforeAutospacing="0" w:after="0" w:afterAutospacing="0"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工作措施</w:t>
            </w:r>
            <w:r>
              <w:rPr>
                <w:rFonts w:hint="eastAsia" w:ascii="宋体" w:hAnsi="宋体" w:eastAsia="宋体" w:cs="宋体"/>
                <w:color w:val="auto"/>
                <w:sz w:val="21"/>
                <w:szCs w:val="21"/>
                <w:highlight w:val="none"/>
                <w:lang w:eastAsia="zh-CN"/>
              </w:rPr>
              <w:t>；</w:t>
            </w:r>
          </w:p>
          <w:p>
            <w:pPr>
              <w:pStyle w:val="4"/>
              <w:widowControl/>
              <w:numPr>
                <w:ilvl w:val="0"/>
                <w:numId w:val="1"/>
              </w:numPr>
              <w:spacing w:before="0" w:beforeAutospacing="0" w:after="0" w:afterAutospacing="0"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工作方法</w:t>
            </w:r>
            <w:r>
              <w:rPr>
                <w:rFonts w:hint="eastAsia" w:ascii="宋体" w:hAnsi="宋体" w:eastAsia="宋体" w:cs="宋体"/>
                <w:color w:val="auto"/>
                <w:sz w:val="21"/>
                <w:szCs w:val="21"/>
                <w:highlight w:val="none"/>
                <w:lang w:eastAsia="zh-CN"/>
              </w:rPr>
              <w:t>；</w:t>
            </w:r>
          </w:p>
          <w:p>
            <w:pPr>
              <w:pStyle w:val="4"/>
              <w:widowControl/>
              <w:numPr>
                <w:ilvl w:val="0"/>
                <w:numId w:val="1"/>
              </w:numPr>
              <w:spacing w:before="0" w:beforeAutospacing="0" w:after="0" w:afterAutospacing="0"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工作手段</w:t>
            </w:r>
            <w:r>
              <w:rPr>
                <w:rFonts w:hint="eastAsia" w:ascii="宋体" w:hAnsi="宋体" w:eastAsia="宋体" w:cs="宋体"/>
                <w:color w:val="auto"/>
                <w:sz w:val="21"/>
                <w:szCs w:val="21"/>
                <w:highlight w:val="none"/>
                <w:lang w:eastAsia="zh-CN"/>
              </w:rPr>
              <w:t>；</w:t>
            </w:r>
          </w:p>
          <w:p>
            <w:pPr>
              <w:pStyle w:val="4"/>
              <w:widowControl/>
              <w:numPr>
                <w:ilvl w:val="0"/>
                <w:numId w:val="1"/>
              </w:numPr>
              <w:spacing w:before="0" w:beforeAutospacing="0" w:after="0" w:afterAutospacing="0"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工作流程</w:t>
            </w:r>
            <w:r>
              <w:rPr>
                <w:rFonts w:hint="eastAsia" w:ascii="宋体" w:hAnsi="宋体" w:eastAsia="宋体" w:cs="宋体"/>
                <w:color w:val="auto"/>
                <w:sz w:val="21"/>
                <w:szCs w:val="21"/>
                <w:highlight w:val="none"/>
                <w:lang w:eastAsia="zh-CN"/>
              </w:rPr>
              <w:t>。</w:t>
            </w:r>
          </w:p>
          <w:p>
            <w:pPr>
              <w:adjustRightInd/>
              <w:snapToGrid/>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（二）评审依据：</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满足以上</w:t>
            </w:r>
            <w:r>
              <w:rPr>
                <w:rFonts w:hint="eastAsia" w:ascii="宋体" w:hAnsi="宋体" w:eastAsia="宋体" w:cs="宋体"/>
                <w:color w:val="auto"/>
                <w:sz w:val="21"/>
                <w:szCs w:val="21"/>
                <w:highlight w:val="none"/>
                <w:lang w:eastAsia="zh-CN"/>
              </w:rPr>
              <w:t>四项要求得</w:t>
            </w:r>
            <w:r>
              <w:rPr>
                <w:rFonts w:hint="eastAsia" w:ascii="宋体" w:hAnsi="宋体" w:eastAsia="宋体" w:cs="宋体"/>
                <w:color w:val="auto"/>
                <w:sz w:val="21"/>
                <w:szCs w:val="21"/>
                <w:highlight w:val="none"/>
                <w:lang w:val="en-US" w:eastAsia="zh-CN"/>
              </w:rPr>
              <w:t>4分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其他情况不得分。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为优（实施方案内容具体、内容针对性强、内容科学合理、内容可操作性强）的加</w:t>
            </w:r>
            <w:r>
              <w:rPr>
                <w:rFonts w:hint="eastAsia" w:ascii="宋体" w:hAnsi="宋体" w:eastAsia="宋体" w:cs="宋体"/>
                <w:color w:val="auto"/>
                <w:sz w:val="21"/>
                <w:szCs w:val="21"/>
                <w:highlight w:val="none"/>
                <w:lang w:val="en-US" w:eastAsia="zh-CN"/>
              </w:rPr>
              <w:t>8分；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为良（实施方案内容较具体、内容针对性较强、内容较科学合理、内容可操作性较强）加</w:t>
            </w:r>
            <w:r>
              <w:rPr>
                <w:rFonts w:hint="eastAsia" w:ascii="宋体" w:hAnsi="宋体" w:eastAsia="宋体" w:cs="宋体"/>
                <w:color w:val="auto"/>
                <w:sz w:val="21"/>
                <w:szCs w:val="21"/>
                <w:highlight w:val="none"/>
                <w:lang w:val="en-US" w:eastAsia="zh-CN"/>
              </w:rPr>
              <w:t>6分；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为中(实施方案内容具体性一般、内容针对性一般、内容科学合理性一般、内容可操作性一般)加</w:t>
            </w:r>
            <w:r>
              <w:rPr>
                <w:rFonts w:hint="eastAsia" w:ascii="宋体" w:hAnsi="宋体" w:eastAsia="宋体" w:cs="宋体"/>
                <w:color w:val="auto"/>
                <w:sz w:val="21"/>
                <w:szCs w:val="21"/>
                <w:highlight w:val="none"/>
                <w:lang w:val="en-US" w:eastAsia="zh-CN"/>
              </w:rPr>
              <w:t>3分；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为差（实施方案内容不具体、无针对性、内容不合理、可操作性差）的不加分；</w:t>
            </w:r>
          </w:p>
          <w:p>
            <w:pPr>
              <w:widowControl w:val="0"/>
              <w:wordWrap/>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为差专家须书面说明理由，并记录在档。未提供实施方案的不得分。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项目进度安排、质量保障措施</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5413" w:type="dxa"/>
            <w:vAlign w:val="top"/>
          </w:tcPr>
          <w:p>
            <w:pP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（一）评审内容：</w:t>
            </w:r>
          </w:p>
          <w:p>
            <w:pPr>
              <w:spacing w:line="276"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给出分阶段项目时间安排、工作进度与阶段性成果。</w:t>
            </w:r>
          </w:p>
          <w:p>
            <w:pPr>
              <w:spacing w:line="276" w:lineRule="auto"/>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详细阐述项目质量管理制度与措施。</w:t>
            </w:r>
          </w:p>
          <w:p>
            <w:pPr>
              <w:spacing w:line="276"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详细阐述项目资料、交付成果。</w:t>
            </w:r>
          </w:p>
          <w:p>
            <w:pP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（二）评审依据：</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满足以上</w:t>
            </w:r>
            <w:r>
              <w:rPr>
                <w:rFonts w:hint="eastAsia" w:ascii="宋体" w:hAnsi="宋体" w:eastAsia="宋体" w:cs="宋体"/>
                <w:color w:val="auto"/>
                <w:sz w:val="21"/>
                <w:szCs w:val="21"/>
                <w:highlight w:val="none"/>
                <w:lang w:eastAsia="zh-CN"/>
              </w:rPr>
              <w:t>三项要求得</w:t>
            </w:r>
            <w:r>
              <w:rPr>
                <w:rFonts w:hint="eastAsia" w:ascii="宋体" w:hAnsi="宋体" w:eastAsia="宋体" w:cs="宋体"/>
                <w:color w:val="auto"/>
                <w:sz w:val="21"/>
                <w:szCs w:val="21"/>
                <w:highlight w:val="none"/>
                <w:lang w:val="en-US" w:eastAsia="zh-CN"/>
              </w:rPr>
              <w:t>4分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其他情况不得分。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为优（项目进度安排科学合理，质量保障措施及方案完善、可行，项目团队能力优秀、分工明确合理，质量、风险、设备及疫情防控保障有力，安全管理，沟通、培训协调措施完善）的加</w:t>
            </w:r>
            <w:r>
              <w:rPr>
                <w:rFonts w:hint="eastAsia" w:ascii="宋体" w:hAnsi="宋体" w:eastAsia="宋体" w:cs="宋体"/>
                <w:color w:val="auto"/>
                <w:kern w:val="0"/>
                <w:sz w:val="21"/>
                <w:szCs w:val="21"/>
                <w:highlight w:val="none"/>
                <w:lang w:val="en-US" w:eastAsia="zh-CN" w:bidi="ar"/>
              </w:rPr>
              <w:t>8分；</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为良（项目进度安排较合理，质量保障措施及方案较为可行，项目团队能力良好、分工比较合理，质量、风险、设备及疫情防控保障措施较完善，安全管理，沟通、培训协调措施较完善）加</w:t>
            </w:r>
            <w:r>
              <w:rPr>
                <w:rFonts w:hint="eastAsia" w:ascii="宋体" w:hAnsi="宋体" w:eastAsia="宋体" w:cs="宋体"/>
                <w:color w:val="auto"/>
                <w:kern w:val="0"/>
                <w:sz w:val="21"/>
                <w:szCs w:val="21"/>
                <w:highlight w:val="none"/>
                <w:lang w:val="en-US" w:eastAsia="zh-CN" w:bidi="ar"/>
              </w:rPr>
              <w:t>6分；</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为中(项目进度安排一般，质量保障措施及方案一般，项目团队能力、分工一般，人员、质量、风险、疫情防控等保障措施一般，安全管理，沟通、培训协调措施一般)加</w:t>
            </w:r>
            <w:r>
              <w:rPr>
                <w:rFonts w:hint="eastAsia" w:ascii="宋体" w:hAnsi="宋体" w:eastAsia="宋体" w:cs="宋体"/>
                <w:color w:val="auto"/>
                <w:kern w:val="0"/>
                <w:sz w:val="21"/>
                <w:szCs w:val="21"/>
                <w:highlight w:val="none"/>
                <w:lang w:val="en-US" w:eastAsia="zh-CN" w:bidi="ar"/>
              </w:rPr>
              <w:t>3分；</w:t>
            </w:r>
          </w:p>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为差（项目进度安排杂乱无章，质量保障措施及方案内容差，项目团队能力、分工差，无质量、风险和安全管理，沟通培训协调措施差）的不加分；</w:t>
            </w:r>
          </w:p>
          <w:p>
            <w:pPr>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评</w:t>
            </w:r>
            <w:r>
              <w:rPr>
                <w:rFonts w:hint="eastAsia" w:ascii="宋体" w:hAnsi="宋体" w:eastAsia="宋体" w:cs="宋体"/>
                <w:color w:val="auto"/>
                <w:kern w:val="0"/>
                <w:sz w:val="21"/>
                <w:szCs w:val="21"/>
                <w:highlight w:val="none"/>
                <w:lang w:eastAsia="zh-CN" w:bidi="ar"/>
              </w:rPr>
              <w:t>分</w:t>
            </w:r>
            <w:r>
              <w:rPr>
                <w:rFonts w:hint="eastAsia" w:ascii="宋体" w:hAnsi="宋体" w:eastAsia="宋体" w:cs="宋体"/>
                <w:color w:val="auto"/>
                <w:kern w:val="0"/>
                <w:sz w:val="21"/>
                <w:szCs w:val="21"/>
                <w:highlight w:val="none"/>
                <w:lang w:bidi="ar"/>
              </w:rPr>
              <w:t>为差专家须书面说明理由，并记录在档；未提供质量保障措施及方案的不得分。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项目完成（服务期满）后的服务承诺</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w:t>
            </w:r>
          </w:p>
        </w:tc>
        <w:tc>
          <w:tcPr>
            <w:tcW w:w="5413" w:type="dxa"/>
            <w:vAlign w:val="top"/>
          </w:tcPr>
          <w:p>
            <w:pPr>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投标人承诺按采购人要求制备详细充分的佐证材料，确保视频播放内容一致，时长达标，频次达标，项目结案报告符合项目审计要求。得6分，未提供不得分。</w:t>
            </w:r>
          </w:p>
          <w:p>
            <w:pPr>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证明材料：提供承诺（格式自拟）。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违约承诺</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6</w:t>
            </w:r>
          </w:p>
        </w:tc>
        <w:tc>
          <w:tcPr>
            <w:tcW w:w="5413" w:type="dxa"/>
            <w:vAlign w:val="top"/>
          </w:tcPr>
          <w:p>
            <w:pP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（一）评审内容：</w:t>
            </w:r>
          </w:p>
          <w:p>
            <w:pP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承诺满足招标文件要求，并提供违约承诺。</w:t>
            </w:r>
          </w:p>
          <w:p>
            <w:pP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（二）评审依据：</w:t>
            </w:r>
          </w:p>
          <w:p>
            <w:pPr>
              <w:spacing w:line="40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投标人提供承诺（格式自定）得</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分。未提供承诺或承诺内容不满足要求均不得分。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项目团队</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5413" w:type="dxa"/>
            <w:vAlign w:val="center"/>
          </w:tcPr>
          <w:p>
            <w:pPr>
              <w:spacing w:line="460" w:lineRule="exact"/>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1、投标人应为本项项目成立专门的项目领导小组和项目实施小组，团队成员不少于5人，并有明确的职责分工，得</w:t>
            </w: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val="zh-CN"/>
              </w:rPr>
              <w:t>分；</w:t>
            </w:r>
          </w:p>
          <w:p>
            <w:pPr>
              <w:spacing w:line="460" w:lineRule="exact"/>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2、团队成员有全日制大专或以上学历，且为新闻学、广告学或传媒策划与管理等传媒专业的，每提供1人得2分，最高得分不超过6分；</w:t>
            </w:r>
          </w:p>
          <w:p>
            <w:pPr>
              <w:autoSpaceDE w:val="0"/>
              <w:autoSpaceDN w:val="0"/>
              <w:adjustRightInd w:val="0"/>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证明材料：提供</w:t>
            </w:r>
            <w:r>
              <w:rPr>
                <w:rFonts w:hint="eastAsia" w:ascii="宋体" w:hAnsi="宋体" w:eastAsia="宋体" w:cs="宋体"/>
                <w:color w:val="auto"/>
                <w:kern w:val="0"/>
                <w:sz w:val="21"/>
                <w:szCs w:val="21"/>
                <w:highlight w:val="none"/>
              </w:rPr>
              <w:t>人员清单、</w:t>
            </w:r>
            <w:r>
              <w:rPr>
                <w:rFonts w:hint="eastAsia" w:ascii="宋体" w:hAnsi="宋体" w:eastAsia="宋体" w:cs="宋体"/>
                <w:color w:val="auto"/>
                <w:kern w:val="0"/>
                <w:sz w:val="21"/>
                <w:szCs w:val="21"/>
                <w:highlight w:val="none"/>
                <w:lang w:val="zh-CN"/>
              </w:rPr>
              <w:t>有效证书和近三个月</w:t>
            </w:r>
            <w:r>
              <w:rPr>
                <w:rFonts w:hint="eastAsia" w:ascii="宋体" w:hAnsi="宋体" w:eastAsia="宋体" w:cs="宋体"/>
                <w:color w:val="auto"/>
                <w:kern w:val="0"/>
                <w:sz w:val="21"/>
                <w:szCs w:val="21"/>
                <w:highlight w:val="none"/>
              </w:rPr>
              <w:t>（新成立不足3个月的供应商须提供自成立以来的社保证明）</w:t>
            </w:r>
            <w:r>
              <w:rPr>
                <w:rFonts w:hint="eastAsia" w:ascii="宋体" w:hAnsi="宋体" w:eastAsia="宋体" w:cs="宋体"/>
                <w:color w:val="auto"/>
                <w:kern w:val="0"/>
                <w:sz w:val="21"/>
                <w:szCs w:val="21"/>
                <w:highlight w:val="none"/>
                <w:lang w:val="zh-CN"/>
              </w:rPr>
              <w:t>在投标人处购买的社保证明复印件并加盖投标人公章，原件备查，未提供或无法判断的不得分。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3</w:t>
            </w:r>
          </w:p>
        </w:tc>
        <w:tc>
          <w:tcPr>
            <w:tcW w:w="3090" w:type="dxa"/>
            <w:gridSpan w:val="3"/>
            <w:vAlign w:val="center"/>
          </w:tcPr>
          <w:p>
            <w:pPr>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商务需求</w:t>
            </w:r>
          </w:p>
        </w:tc>
        <w:tc>
          <w:tcPr>
            <w:tcW w:w="5413" w:type="dxa"/>
            <w:vAlign w:val="center"/>
          </w:tcPr>
          <w:p>
            <w:pPr>
              <w:spacing w:line="440" w:lineRule="exact"/>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outlineLvl w:val="0"/>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62" w:type="dxa"/>
            <w:vAlign w:val="center"/>
          </w:tcPr>
          <w:p>
            <w:pPr>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679" w:type="dxa"/>
            <w:vAlign w:val="center"/>
          </w:tcPr>
          <w:p>
            <w:pPr>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权重</w:t>
            </w:r>
          </w:p>
        </w:tc>
        <w:tc>
          <w:tcPr>
            <w:tcW w:w="5413" w:type="dxa"/>
            <w:vAlign w:val="center"/>
          </w:tcPr>
          <w:p>
            <w:pPr>
              <w:spacing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经营资质</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5413" w:type="dxa"/>
            <w:vAlign w:val="center"/>
          </w:tcPr>
          <w:p>
            <w:pPr>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有深圳市内地铁移动电视广告的经营权或取得地铁移动电视广告经营商授权，保障播放总时长频次， 1、3、</w:t>
            </w:r>
            <w:r>
              <w:rPr>
                <w:rFonts w:hint="eastAsia" w:ascii="宋体" w:hAnsi="宋体" w:eastAsia="宋体" w:cs="宋体"/>
                <w:color w:val="auto"/>
                <w:sz w:val="21"/>
                <w:szCs w:val="21"/>
                <w:highlight w:val="none"/>
                <w:lang w:val="en-US" w:eastAsia="zh-CN"/>
              </w:rPr>
              <w:t>5、9</w:t>
            </w:r>
            <w:r>
              <w:rPr>
                <w:rFonts w:hint="eastAsia" w:ascii="宋体" w:hAnsi="宋体" w:eastAsia="宋体" w:cs="宋体"/>
                <w:color w:val="auto"/>
                <w:sz w:val="21"/>
                <w:szCs w:val="21"/>
                <w:highlight w:val="none"/>
              </w:rPr>
              <w:t>号线路为必播线，不足要求的本项不得分，在此基础上：覆盖≥</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条线得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分，覆盖7</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条线得10分，覆盖6条线得8分，低于得6条线本项不得分。</w:t>
            </w:r>
          </w:p>
          <w:p>
            <w:pPr>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证明材料：提供相关经营权或授权证明材料复印件加盖投标人公章，原件备查，未提供或无法判断的不得分。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投标人业绩</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5413" w:type="dxa"/>
            <w:vAlign w:val="center"/>
          </w:tcPr>
          <w:p>
            <w:pPr>
              <w:wordWrap w:val="0"/>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2018年1月1日至本项目开标截止之日止</w:t>
            </w:r>
            <w:r>
              <w:rPr>
                <w:rFonts w:hint="eastAsia" w:ascii="宋体" w:hAnsi="宋体" w:eastAsia="宋体" w:cs="宋体"/>
                <w:color w:val="auto"/>
                <w:sz w:val="21"/>
                <w:szCs w:val="21"/>
                <w:highlight w:val="none"/>
                <w:lang w:eastAsia="zh-CN"/>
              </w:rPr>
              <w:t>（以证明文件落款时间为准）</w:t>
            </w:r>
            <w:r>
              <w:rPr>
                <w:rFonts w:hint="eastAsia" w:ascii="宋体" w:hAnsi="宋体" w:eastAsia="宋体" w:cs="宋体"/>
                <w:color w:val="auto"/>
                <w:sz w:val="21"/>
                <w:szCs w:val="21"/>
                <w:highlight w:val="none"/>
              </w:rPr>
              <w:t>，开展的与本项目相关宣传项目，每提供一个得2分，最高得分不超过</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wordWrap w:val="0"/>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证明材料：提供有效合同关键页或中标通知书复印件加盖投标人公章，原件备查，未提供或无法判断的不得分。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服务便利</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5413" w:type="dxa"/>
            <w:vAlign w:val="center"/>
          </w:tcPr>
          <w:p>
            <w:pPr>
              <w:autoSpaceDE w:val="0"/>
              <w:autoSpaceDN w:val="0"/>
              <w:adjustRightInd w:val="0"/>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投标人为深圳供应商或在深圳设有工商注册的分支机构，得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分，在广东省内（深圳外），有工商注册的分支机构得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分，其他不得分。证明材料：提供营业执照复印件加盖投标人公章，原件备查，未提供或无法判断的不得分。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企业诚信</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5</w:t>
            </w:r>
          </w:p>
        </w:tc>
        <w:tc>
          <w:tcPr>
            <w:tcW w:w="5413" w:type="dxa"/>
            <w:vAlign w:val="center"/>
          </w:tcPr>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投标人存在《诚信承诺函》所列情形但超出法定追诉时效，或情节轻微未给予禁止参与政府采购的行政处罚的，本项得0分，不存在上述情形的，本项得满分。</w:t>
            </w:r>
          </w:p>
          <w:p>
            <w:pPr>
              <w:autoSpaceDE w:val="0"/>
              <w:autoSpaceDN w:val="0"/>
              <w:adjustRightInd w:val="0"/>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注：提供《诚信承诺函》盖投标人公章（详见“格式十二：诚信承诺函格式”），投标人应对提供的《诚信承诺函》负责（格式必须按照招标文件格式要求，不得作出任何调整或修订，否则视为无效证明文件）。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color w:val="auto"/>
                <w:szCs w:val="21"/>
                <w:highlight w:val="none"/>
              </w:rPr>
            </w:pPr>
          </w:p>
        </w:tc>
        <w:tc>
          <w:tcPr>
            <w:tcW w:w="749"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662"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履约评价</w:t>
            </w:r>
          </w:p>
        </w:tc>
        <w:tc>
          <w:tcPr>
            <w:tcW w:w="679" w:type="dxa"/>
            <w:vAlign w:val="center"/>
          </w:tcPr>
          <w:p>
            <w:pPr>
              <w:autoSpaceDE w:val="0"/>
              <w:autoSpaceDN w:val="0"/>
              <w:adjustRightInd w:val="0"/>
              <w:spacing w:line="4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5413" w:type="dxa"/>
            <w:vAlign w:val="center"/>
          </w:tcPr>
          <w:p>
            <w:pPr>
              <w:autoSpaceDE w:val="0"/>
              <w:autoSpaceDN w:val="0"/>
              <w:adjustRightInd w:val="0"/>
              <w:spacing w:line="460" w:lineRule="exact"/>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2019年8月至本项目投标之日止（以合同签订日期为准）有同类项目的履约情况评价且为满意或优的。每提供1个得</w:t>
            </w: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分，该项最高得</w:t>
            </w:r>
            <w:r>
              <w:rPr>
                <w:rFonts w:hint="eastAsia" w:ascii="宋体" w:hAnsi="宋体" w:eastAsia="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rPr>
              <w:t>分。</w:t>
            </w:r>
          </w:p>
          <w:p>
            <w:pPr>
              <w:autoSpaceDE w:val="0"/>
              <w:autoSpaceDN w:val="0"/>
              <w:adjustRightInd w:val="0"/>
              <w:spacing w:line="460" w:lineRule="exact"/>
              <w:jc w:val="left"/>
              <w:rPr>
                <w:rFonts w:hint="eastAsia" w:ascii="宋体" w:hAnsi="宋体" w:eastAsia="宋体" w:cs="宋体"/>
                <w:color w:val="auto"/>
                <w:sz w:val="21"/>
                <w:szCs w:val="21"/>
                <w:highlight w:val="none"/>
              </w:rPr>
            </w:pPr>
            <w:r>
              <w:rPr>
                <w:rFonts w:hint="eastAsia" w:ascii="宋体" w:hAnsi="宋体" w:eastAsia="宋体" w:cs="宋体"/>
                <w:b w:val="0"/>
                <w:bCs w:val="0"/>
                <w:color w:val="auto"/>
                <w:kern w:val="0"/>
                <w:sz w:val="21"/>
                <w:szCs w:val="21"/>
                <w:highlight w:val="none"/>
              </w:rPr>
              <w:t>证明材料：提供用户履约评价复印件加盖投标人公章，不清晰或未提供不得分。</w:t>
            </w:r>
          </w:p>
        </w:tc>
      </w:tr>
    </w:tbl>
    <w:p>
      <w:pPr>
        <w:spacing w:line="440" w:lineRule="exact"/>
        <w:ind w:firstLine="422" w:firstLineChars="200"/>
        <w:rPr>
          <w:rFonts w:ascii="宋体" w:hAnsi="宋体"/>
          <w:color w:val="auto"/>
          <w:szCs w:val="21"/>
          <w:highlight w:val="none"/>
        </w:rPr>
      </w:pPr>
      <w:r>
        <w:rPr>
          <w:rFonts w:hint="eastAsia" w:ascii="宋体" w:hAnsi="宋体"/>
          <w:b/>
          <w:color w:val="auto"/>
          <w:szCs w:val="21"/>
          <w:highlight w:val="none"/>
        </w:rPr>
        <w:t>说明：</w:t>
      </w:r>
      <w:r>
        <w:rPr>
          <w:rFonts w:hint="eastAsia" w:ascii="宋体" w:hAnsi="宋体"/>
          <w:color w:val="auto"/>
          <w:szCs w:val="21"/>
          <w:highlight w:val="none"/>
        </w:rPr>
        <w:t>1、本评分表中每一栏的得分最高不得超过该项评审指标的分值。2、表中要求提供相关计分证明文件的内容，投标文件中须明确加以说明，未按要求提供相关文件或说明不清楚的按不符合要求处理。</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三、评标及定标程序</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（一）授权评标委员会确定中标单位的方式</w:t>
      </w:r>
    </w:p>
    <w:p>
      <w:pPr>
        <w:pStyle w:val="8"/>
        <w:numPr>
          <w:ilvl w:val="0"/>
          <w:numId w:val="2"/>
        </w:numPr>
        <w:spacing w:line="440" w:lineRule="exact"/>
        <w:ind w:firstLineChars="0"/>
        <w:rPr>
          <w:rFonts w:ascii="宋体" w:hAnsi="宋体"/>
          <w:b/>
          <w:color w:val="auto"/>
          <w:szCs w:val="21"/>
          <w:highlight w:val="none"/>
        </w:rPr>
      </w:pPr>
      <w:r>
        <w:rPr>
          <w:rFonts w:ascii="宋体" w:hAnsi="宋体"/>
          <w:b/>
          <w:color w:val="auto"/>
          <w:szCs w:val="21"/>
          <w:highlight w:val="none"/>
        </w:rPr>
        <w:t>综合评分法</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1、</w:t>
      </w:r>
      <w:r>
        <w:rPr>
          <w:rFonts w:ascii="Calibri" w:hAnsi="宋体"/>
          <w:b/>
          <w:color w:val="auto"/>
          <w:szCs w:val="21"/>
          <w:highlight w:val="none"/>
        </w:rPr>
        <w:t>符合性检查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商务</w:t>
      </w:r>
      <w:r>
        <w:rPr>
          <w:rFonts w:hint="eastAsia" w:ascii="宋体" w:hAnsi="宋体"/>
          <w:b/>
          <w:color w:val="auto"/>
          <w:szCs w:val="21"/>
          <w:highlight w:val="none"/>
        </w:rPr>
        <w:t>、</w:t>
      </w:r>
      <w:r>
        <w:rPr>
          <w:rFonts w:ascii="宋体" w:hAnsi="宋体"/>
          <w:b/>
          <w:color w:val="auto"/>
          <w:szCs w:val="21"/>
          <w:highlight w:val="none"/>
        </w:rPr>
        <w:t>技术及价格评议</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评标委员会根据《</w:t>
      </w:r>
      <w:r>
        <w:rPr>
          <w:rFonts w:hint="eastAsia" w:ascii="宋体" w:hAnsi="宋体"/>
          <w:color w:val="auto"/>
          <w:szCs w:val="21"/>
          <w:highlight w:val="none"/>
        </w:rPr>
        <w:t>评分表</w:t>
      </w:r>
      <w:r>
        <w:rPr>
          <w:rFonts w:ascii="宋体" w:hAnsi="宋体"/>
          <w:color w:val="auto"/>
          <w:szCs w:val="21"/>
          <w:highlight w:val="none"/>
        </w:rPr>
        <w:t>》的内容和标准，对通过</w:t>
      </w:r>
      <w:r>
        <w:rPr>
          <w:rFonts w:hint="eastAsia" w:ascii="宋体" w:hAnsi="宋体"/>
          <w:bCs/>
          <w:color w:val="auto"/>
          <w:szCs w:val="21"/>
          <w:highlight w:val="none"/>
        </w:rPr>
        <w:t>资格性和</w:t>
      </w:r>
      <w:r>
        <w:rPr>
          <w:rFonts w:ascii="宋体" w:hAnsi="宋体"/>
          <w:bCs/>
          <w:color w:val="auto"/>
          <w:szCs w:val="21"/>
          <w:highlight w:val="none"/>
        </w:rPr>
        <w:t>符合性</w:t>
      </w:r>
      <w:r>
        <w:rPr>
          <w:rFonts w:ascii="宋体" w:hAnsi="宋体"/>
          <w:color w:val="auto"/>
          <w:szCs w:val="21"/>
          <w:highlight w:val="none"/>
        </w:rPr>
        <w:t>检查的投标进行商务</w:t>
      </w:r>
      <w:r>
        <w:rPr>
          <w:rFonts w:hint="eastAsia" w:ascii="宋体" w:hAnsi="宋体"/>
          <w:color w:val="auto"/>
          <w:szCs w:val="21"/>
          <w:highlight w:val="none"/>
        </w:rPr>
        <w:t>、</w:t>
      </w:r>
      <w:r>
        <w:rPr>
          <w:rFonts w:ascii="宋体" w:hAnsi="宋体"/>
          <w:color w:val="auto"/>
          <w:szCs w:val="21"/>
          <w:highlight w:val="none"/>
        </w:rPr>
        <w:t>技术</w:t>
      </w:r>
      <w:r>
        <w:rPr>
          <w:rFonts w:hint="eastAsia" w:ascii="宋体" w:hAnsi="宋体"/>
          <w:color w:val="auto"/>
          <w:szCs w:val="21"/>
          <w:highlight w:val="none"/>
        </w:rPr>
        <w:t>及价格</w:t>
      </w:r>
      <w:r>
        <w:rPr>
          <w:rFonts w:ascii="宋体" w:hAnsi="宋体"/>
          <w:color w:val="auto"/>
          <w:szCs w:val="21"/>
          <w:highlight w:val="none"/>
        </w:rPr>
        <w:t>评议。</w:t>
      </w:r>
    </w:p>
    <w:p>
      <w:pPr>
        <w:spacing w:line="440" w:lineRule="exact"/>
        <w:ind w:firstLine="420" w:firstLineChars="200"/>
        <w:rPr>
          <w:rFonts w:ascii="Calibri" w:hAnsi="Calibri"/>
          <w:color w:val="auto"/>
          <w:szCs w:val="21"/>
          <w:highlight w:val="none"/>
        </w:rPr>
      </w:pPr>
      <w:r>
        <w:rPr>
          <w:rFonts w:hint="eastAsia" w:ascii="宋体" w:hAnsi="宋体"/>
          <w:color w:val="auto"/>
          <w:szCs w:val="21"/>
          <w:highlight w:val="none"/>
        </w:rPr>
        <w:t>（2）</w:t>
      </w:r>
      <w:r>
        <w:rPr>
          <w:rFonts w:ascii="宋体" w:hAnsi="宋体"/>
          <w:color w:val="auto"/>
          <w:szCs w:val="21"/>
          <w:highlight w:val="none"/>
        </w:rPr>
        <w:t>评</w:t>
      </w:r>
      <w:r>
        <w:rPr>
          <w:rFonts w:ascii="Calibri" w:hAnsi="宋体"/>
          <w:color w:val="auto"/>
          <w:szCs w:val="21"/>
          <w:highlight w:val="none"/>
        </w:rPr>
        <w:t>标委员会将对照招标文件中的商务、技术需求条款和投标文件中的商务、技术条款响应进行评议</w:t>
      </w:r>
      <w:r>
        <w:rPr>
          <w:rFonts w:hint="eastAsia" w:ascii="Calibri" w:hAnsi="宋体"/>
          <w:color w:val="auto"/>
          <w:szCs w:val="21"/>
          <w:highlight w:val="none"/>
        </w:rPr>
        <w:t>；</w:t>
      </w:r>
      <w:r>
        <w:rPr>
          <w:rFonts w:ascii="Calibri" w:hAnsi="宋体"/>
          <w:color w:val="auto"/>
          <w:szCs w:val="21"/>
          <w:highlight w:val="none"/>
        </w:rPr>
        <w:t>评标委员会成员将按照《</w:t>
      </w:r>
      <w:r>
        <w:rPr>
          <w:rFonts w:hint="eastAsia" w:ascii="Calibri" w:hAnsi="宋体"/>
          <w:color w:val="auto"/>
          <w:szCs w:val="21"/>
          <w:highlight w:val="none"/>
        </w:rPr>
        <w:t>评分表</w:t>
      </w:r>
      <w:r>
        <w:rPr>
          <w:rFonts w:ascii="Calibri" w:hAnsi="宋体"/>
          <w:color w:val="auto"/>
          <w:szCs w:val="21"/>
          <w:highlight w:val="none"/>
        </w:rPr>
        <w:t>》确定的</w:t>
      </w:r>
      <w:r>
        <w:rPr>
          <w:rFonts w:hint="eastAsia" w:ascii="Calibri" w:hAnsi="宋体"/>
          <w:color w:val="auto"/>
          <w:szCs w:val="21"/>
          <w:highlight w:val="none"/>
        </w:rPr>
        <w:t>分值</w:t>
      </w:r>
      <w:r>
        <w:rPr>
          <w:rFonts w:ascii="Calibri" w:hAnsi="宋体"/>
          <w:color w:val="auto"/>
          <w:szCs w:val="21"/>
          <w:highlight w:val="none"/>
        </w:rPr>
        <w:t>独立对每个投标的商务</w:t>
      </w:r>
      <w:r>
        <w:rPr>
          <w:rFonts w:hint="eastAsia" w:ascii="Calibri" w:hAnsi="宋体"/>
          <w:color w:val="auto"/>
          <w:szCs w:val="21"/>
          <w:highlight w:val="none"/>
        </w:rPr>
        <w:t>、</w:t>
      </w:r>
      <w:r>
        <w:rPr>
          <w:rFonts w:ascii="Calibri" w:hAnsi="宋体"/>
          <w:color w:val="auto"/>
          <w:szCs w:val="21"/>
          <w:highlight w:val="none"/>
        </w:rPr>
        <w:t>技术</w:t>
      </w:r>
      <w:r>
        <w:rPr>
          <w:rFonts w:hint="eastAsia" w:ascii="Calibri" w:hAnsi="宋体"/>
          <w:color w:val="auto"/>
          <w:szCs w:val="21"/>
          <w:highlight w:val="none"/>
        </w:rPr>
        <w:t>及价格</w:t>
      </w:r>
      <w:r>
        <w:rPr>
          <w:rFonts w:ascii="Calibri" w:hAnsi="宋体"/>
          <w:color w:val="auto"/>
          <w:szCs w:val="21"/>
          <w:highlight w:val="none"/>
        </w:rPr>
        <w:t>部分以打分的方式进行评议。</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3、</w:t>
      </w:r>
      <w:r>
        <w:rPr>
          <w:rFonts w:ascii="Calibri" w:hAnsi="宋体"/>
          <w:b/>
          <w:color w:val="auto"/>
          <w:szCs w:val="21"/>
          <w:highlight w:val="none"/>
        </w:rPr>
        <w:t>中标</w:t>
      </w:r>
      <w:r>
        <w:rPr>
          <w:rFonts w:hint="eastAsia" w:ascii="Calibri" w:hAnsi="宋体"/>
          <w:b/>
          <w:color w:val="auto"/>
          <w:szCs w:val="21"/>
          <w:highlight w:val="none"/>
        </w:rPr>
        <w:t>单位</w:t>
      </w:r>
      <w:r>
        <w:rPr>
          <w:rFonts w:ascii="Calibri" w:hAnsi="宋体"/>
          <w:b/>
          <w:color w:val="auto"/>
          <w:szCs w:val="21"/>
          <w:highlight w:val="none"/>
        </w:rPr>
        <w:t>的确定</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3.1  </w:t>
      </w:r>
      <w:r>
        <w:rPr>
          <w:rFonts w:hint="eastAsia" w:ascii="宋体" w:hAnsi="宋体"/>
          <w:b/>
          <w:bCs/>
          <w:color w:val="auto"/>
          <w:szCs w:val="21"/>
          <w:highlight w:val="none"/>
        </w:rPr>
        <w:t>候选中标供应商推荐</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（1）每个投标单位的评标总得分以</w:t>
      </w:r>
      <w:r>
        <w:rPr>
          <w:rFonts w:hint="eastAsia" w:ascii="宋体" w:hAnsi="宋体"/>
          <w:color w:val="auto"/>
          <w:szCs w:val="21"/>
          <w:highlight w:val="none"/>
        </w:rPr>
        <w:t>所有评标委员会成员的独立评分汇总</w:t>
      </w:r>
      <w:r>
        <w:rPr>
          <w:rFonts w:hint="eastAsia" w:ascii="宋体" w:hAnsi="宋体"/>
          <w:bCs/>
          <w:color w:val="auto"/>
          <w:szCs w:val="21"/>
          <w:highlight w:val="none"/>
        </w:rPr>
        <w:t>后确定，</w:t>
      </w:r>
      <w:r>
        <w:rPr>
          <w:rFonts w:ascii="宋体" w:hAnsi="宋体"/>
          <w:bCs/>
          <w:color w:val="auto"/>
          <w:szCs w:val="21"/>
          <w:highlight w:val="none"/>
        </w:rPr>
        <w:t>评标总得分相同的，按投标报价由低到高顺序排列；评标总得分且投标报价相同的，按技术指标</w:t>
      </w:r>
      <w:r>
        <w:rPr>
          <w:rFonts w:hint="eastAsia" w:ascii="宋体" w:hAnsi="宋体"/>
          <w:bCs/>
          <w:color w:val="auto"/>
          <w:szCs w:val="21"/>
          <w:highlight w:val="none"/>
        </w:rPr>
        <w:t>（技术部分）</w:t>
      </w:r>
      <w:r>
        <w:rPr>
          <w:rFonts w:ascii="宋体" w:hAnsi="宋体"/>
          <w:bCs/>
          <w:color w:val="auto"/>
          <w:szCs w:val="21"/>
          <w:highlight w:val="none"/>
        </w:rPr>
        <w:t>得分优劣顺序排列</w:t>
      </w:r>
      <w:r>
        <w:rPr>
          <w:rFonts w:hint="eastAsia" w:ascii="Calibri" w:hAnsi="宋体"/>
          <w:color w:val="auto"/>
          <w:szCs w:val="21"/>
          <w:highlight w:val="none"/>
        </w:rPr>
        <w:t>；如</w:t>
      </w:r>
      <w:r>
        <w:rPr>
          <w:rFonts w:ascii="Calibri" w:hAnsi="宋体"/>
          <w:color w:val="auto"/>
          <w:szCs w:val="21"/>
          <w:highlight w:val="none"/>
        </w:rPr>
        <w:t>技术指标</w:t>
      </w:r>
      <w:r>
        <w:rPr>
          <w:rFonts w:hint="eastAsia" w:ascii="Calibri" w:hAnsi="宋体"/>
          <w:color w:val="auto"/>
          <w:szCs w:val="21"/>
          <w:highlight w:val="none"/>
        </w:rPr>
        <w:t>（技术部分）</w:t>
      </w:r>
      <w:r>
        <w:rPr>
          <w:rFonts w:ascii="Calibri" w:hAnsi="宋体"/>
          <w:color w:val="auto"/>
          <w:szCs w:val="21"/>
          <w:highlight w:val="none"/>
        </w:rPr>
        <w:t>得分</w:t>
      </w:r>
      <w:r>
        <w:rPr>
          <w:rFonts w:hint="eastAsia" w:ascii="Calibri" w:hAnsi="宋体"/>
          <w:color w:val="auto"/>
          <w:szCs w:val="21"/>
          <w:highlight w:val="none"/>
        </w:rPr>
        <w:t>仍然相同的，则采用抽签方式确定排序，</w:t>
      </w:r>
      <w:r>
        <w:rPr>
          <w:rFonts w:hint="eastAsia" w:asciiTheme="minorEastAsia" w:hAnsiTheme="minorEastAsia" w:eastAsiaTheme="minorEastAsia"/>
          <w:color w:val="auto"/>
          <w:szCs w:val="21"/>
          <w:highlight w:val="none"/>
        </w:rPr>
        <w:t>具体操作办法及流程由评标委员会确定</w:t>
      </w:r>
      <w:r>
        <w:rPr>
          <w:rFonts w:ascii="宋体" w:hAnsi="宋体"/>
          <w:bCs/>
          <w:color w:val="auto"/>
          <w:szCs w:val="21"/>
          <w:highlight w:val="none"/>
        </w:rPr>
        <w:t>。</w:t>
      </w:r>
    </w:p>
    <w:p>
      <w:pPr>
        <w:spacing w:line="440" w:lineRule="exact"/>
        <w:ind w:firstLine="420" w:firstLineChars="200"/>
        <w:rPr>
          <w:color w:val="auto"/>
          <w:szCs w:val="21"/>
          <w:highlight w:val="none"/>
        </w:rPr>
      </w:pPr>
      <w:r>
        <w:rPr>
          <w:rFonts w:hint="eastAsia" w:ascii="宋体" w:hAnsi="宋体"/>
          <w:bCs/>
          <w:color w:val="auto"/>
          <w:szCs w:val="21"/>
          <w:highlight w:val="none"/>
        </w:rPr>
        <w:t>（2）评标委员会按照综合评分的排名结果推荐中标候选供应商，</w:t>
      </w:r>
      <w:r>
        <w:rPr>
          <w:rFonts w:hint="eastAsia" w:ascii="宋体" w:hAnsi="宋体"/>
          <w:color w:val="auto"/>
          <w:szCs w:val="21"/>
          <w:highlight w:val="none"/>
        </w:rPr>
        <w:t>排名前三的投标单位</w:t>
      </w:r>
      <w:r>
        <w:rPr>
          <w:rFonts w:hint="eastAsia" w:ascii="宋体" w:hAnsi="宋体"/>
          <w:bCs/>
          <w:color w:val="auto"/>
          <w:szCs w:val="21"/>
          <w:highlight w:val="none"/>
        </w:rPr>
        <w:t>作为推荐的候选中标供应商。</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3.2  定标</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采购方授权评标委员会确定中标单位，确定评标总得分最高且</w:t>
      </w:r>
      <w:r>
        <w:rPr>
          <w:rFonts w:ascii="宋体" w:hAnsi="宋体"/>
          <w:bCs/>
          <w:color w:val="auto"/>
          <w:szCs w:val="21"/>
          <w:highlight w:val="none"/>
        </w:rPr>
        <w:t>排名第一</w:t>
      </w:r>
      <w:r>
        <w:rPr>
          <w:rFonts w:hint="eastAsia" w:ascii="宋体" w:hAnsi="宋体"/>
          <w:bCs/>
          <w:color w:val="auto"/>
          <w:szCs w:val="21"/>
          <w:highlight w:val="none"/>
        </w:rPr>
        <w:t>的投标人为中标单位。</w:t>
      </w:r>
    </w:p>
    <w:p>
      <w:pPr>
        <w:pStyle w:val="8"/>
        <w:numPr>
          <w:ilvl w:val="0"/>
          <w:numId w:val="2"/>
        </w:numPr>
        <w:spacing w:line="440" w:lineRule="exact"/>
        <w:ind w:firstLineChars="0"/>
        <w:rPr>
          <w:rFonts w:ascii="宋体" w:hAnsi="宋体"/>
          <w:b/>
          <w:color w:val="auto"/>
          <w:szCs w:val="21"/>
          <w:highlight w:val="none"/>
        </w:rPr>
      </w:pPr>
      <w:r>
        <w:rPr>
          <w:b/>
          <w:color w:val="auto"/>
          <w:szCs w:val="21"/>
          <w:highlight w:val="none"/>
        </w:rPr>
        <w:t>最低价法</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符合性检查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2、</w:t>
      </w:r>
      <w:r>
        <w:rPr>
          <w:rFonts w:ascii="Calibri" w:hAnsi="宋体"/>
          <w:b/>
          <w:color w:val="auto"/>
          <w:szCs w:val="21"/>
          <w:highlight w:val="none"/>
        </w:rPr>
        <w:t>中标</w:t>
      </w:r>
      <w:r>
        <w:rPr>
          <w:rFonts w:hint="eastAsia" w:ascii="Calibri" w:hAnsi="宋体"/>
          <w:b/>
          <w:color w:val="auto"/>
          <w:szCs w:val="21"/>
          <w:highlight w:val="none"/>
        </w:rPr>
        <w:t>单位</w:t>
      </w:r>
      <w:r>
        <w:rPr>
          <w:rFonts w:ascii="Calibri" w:hAnsi="宋体"/>
          <w:b/>
          <w:color w:val="auto"/>
          <w:szCs w:val="21"/>
          <w:highlight w:val="none"/>
        </w:rPr>
        <w:t>的确定</w:t>
      </w:r>
    </w:p>
    <w:p>
      <w:pPr>
        <w:spacing w:line="440" w:lineRule="exact"/>
        <w:ind w:firstLine="422" w:firstLineChars="200"/>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 xml:space="preserve">.1  </w:t>
      </w:r>
      <w:r>
        <w:rPr>
          <w:rFonts w:hint="eastAsia" w:ascii="宋体" w:hAnsi="宋体"/>
          <w:b/>
          <w:bCs/>
          <w:color w:val="auto"/>
          <w:szCs w:val="21"/>
          <w:highlight w:val="none"/>
        </w:rPr>
        <w:t>候选中标供应商推荐</w:t>
      </w:r>
    </w:p>
    <w:p>
      <w:pPr>
        <w:spacing w:line="440" w:lineRule="exact"/>
        <w:ind w:firstLine="435"/>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评标委员会对通过上述检查且最终报价不超过预算控制金额</w:t>
      </w:r>
      <w:r>
        <w:rPr>
          <w:rFonts w:hint="eastAsia" w:ascii="宋体" w:hAnsi="宋体"/>
          <w:color w:val="auto"/>
          <w:szCs w:val="21"/>
          <w:highlight w:val="none"/>
        </w:rPr>
        <w:t>的投标单位进行审查，并</w:t>
      </w:r>
      <w:r>
        <w:rPr>
          <w:rFonts w:ascii="Calibri" w:hAnsi="宋体"/>
          <w:color w:val="auto"/>
          <w:szCs w:val="21"/>
          <w:highlight w:val="none"/>
        </w:rPr>
        <w:t>按投标报价由低到高</w:t>
      </w:r>
      <w:r>
        <w:rPr>
          <w:rFonts w:hint="eastAsia" w:ascii="Calibri" w:hAnsi="宋体"/>
          <w:color w:val="auto"/>
          <w:szCs w:val="21"/>
          <w:highlight w:val="none"/>
        </w:rPr>
        <w:t>排序；</w:t>
      </w:r>
      <w:r>
        <w:rPr>
          <w:rFonts w:ascii="Calibri" w:hAnsi="宋体"/>
          <w:color w:val="auto"/>
          <w:szCs w:val="21"/>
          <w:highlight w:val="none"/>
        </w:rPr>
        <w:t>投标报价相同的，按技术指标优劣顺序排列</w:t>
      </w:r>
      <w:r>
        <w:rPr>
          <w:rFonts w:hint="eastAsia" w:ascii="Calibri" w:hAnsi="宋体"/>
          <w:color w:val="auto"/>
          <w:szCs w:val="21"/>
          <w:highlight w:val="none"/>
        </w:rPr>
        <w:t>；技术指标仍然相同的，则采用抽签方式确定排序，</w:t>
      </w:r>
      <w:r>
        <w:rPr>
          <w:rFonts w:hint="eastAsia" w:asciiTheme="minorEastAsia" w:hAnsiTheme="minorEastAsia" w:eastAsiaTheme="minorEastAsia"/>
          <w:color w:val="auto"/>
          <w:szCs w:val="21"/>
          <w:highlight w:val="none"/>
        </w:rPr>
        <w:t>具体操作办法及流程由评标委员会确定</w:t>
      </w:r>
      <w:r>
        <w:rPr>
          <w:rFonts w:ascii="Calibri" w:hAnsi="宋体"/>
          <w:color w:val="auto"/>
          <w:szCs w:val="21"/>
          <w:highlight w:val="none"/>
        </w:rPr>
        <w:t>。</w:t>
      </w:r>
      <w:r>
        <w:rPr>
          <w:rFonts w:hint="eastAsia" w:ascii="宋体" w:hAnsi="宋体"/>
          <w:color w:val="auto"/>
          <w:szCs w:val="21"/>
          <w:highlight w:val="none"/>
        </w:rPr>
        <w:t>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440" w:lineRule="exact"/>
        <w:ind w:firstLine="435"/>
        <w:rPr>
          <w:rFonts w:ascii="宋体" w:hAnsi="宋体"/>
          <w:b/>
          <w:bCs/>
          <w:color w:val="auto"/>
          <w:szCs w:val="21"/>
          <w:highlight w:val="none"/>
        </w:rPr>
      </w:pPr>
      <w:r>
        <w:rPr>
          <w:rFonts w:hint="eastAsia" w:ascii="宋体" w:hAnsi="宋体"/>
          <w:bCs/>
          <w:color w:val="auto"/>
          <w:szCs w:val="21"/>
          <w:highlight w:val="none"/>
        </w:rPr>
        <w:t>（2）评标委员会按照上述投标</w:t>
      </w:r>
      <w:r>
        <w:rPr>
          <w:rFonts w:ascii="宋体" w:hAnsi="宋体"/>
          <w:bCs/>
          <w:color w:val="auto"/>
          <w:szCs w:val="21"/>
          <w:highlight w:val="none"/>
        </w:rPr>
        <w:t>报价的</w:t>
      </w:r>
      <w:r>
        <w:rPr>
          <w:rFonts w:hint="eastAsia" w:ascii="宋体" w:hAnsi="宋体"/>
          <w:bCs/>
          <w:color w:val="auto"/>
          <w:szCs w:val="21"/>
          <w:highlight w:val="none"/>
        </w:rPr>
        <w:t>排序结果推荐中标候选供应商，</w:t>
      </w:r>
      <w:r>
        <w:rPr>
          <w:rFonts w:hint="eastAsia" w:ascii="宋体" w:hAnsi="宋体"/>
          <w:color w:val="auto"/>
          <w:szCs w:val="21"/>
          <w:highlight w:val="none"/>
        </w:rPr>
        <w:t>排名前三的投标单位</w:t>
      </w:r>
      <w:r>
        <w:rPr>
          <w:rFonts w:hint="eastAsia" w:ascii="宋体" w:hAnsi="宋体"/>
          <w:bCs/>
          <w:color w:val="auto"/>
          <w:szCs w:val="21"/>
          <w:highlight w:val="none"/>
        </w:rPr>
        <w:t>作为推荐的候选中标供应商。</w:t>
      </w:r>
    </w:p>
    <w:p>
      <w:pPr>
        <w:spacing w:line="440" w:lineRule="exact"/>
        <w:ind w:firstLine="435"/>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 xml:space="preserve">.2  </w:t>
      </w:r>
      <w:r>
        <w:rPr>
          <w:rFonts w:hint="eastAsia" w:ascii="宋体" w:hAnsi="宋体"/>
          <w:b/>
          <w:color w:val="auto"/>
          <w:szCs w:val="21"/>
          <w:highlight w:val="none"/>
        </w:rPr>
        <w:t>定标</w:t>
      </w:r>
    </w:p>
    <w:p>
      <w:pPr>
        <w:spacing w:line="440" w:lineRule="exact"/>
        <w:ind w:firstLine="435"/>
        <w:rPr>
          <w:rFonts w:ascii="宋体" w:hAnsi="宋体"/>
          <w:color w:val="auto"/>
          <w:szCs w:val="21"/>
          <w:highlight w:val="none"/>
        </w:rPr>
      </w:pPr>
      <w:r>
        <w:rPr>
          <w:rFonts w:ascii="宋体" w:hAnsi="宋体"/>
          <w:color w:val="auto"/>
          <w:szCs w:val="21"/>
          <w:highlight w:val="none"/>
        </w:rPr>
        <w:t>采购方授权评标委员会确定中标单位，</w:t>
      </w:r>
      <w:r>
        <w:rPr>
          <w:rFonts w:hint="eastAsia" w:ascii="宋体" w:hAnsi="宋体"/>
          <w:color w:val="auto"/>
          <w:szCs w:val="21"/>
          <w:highlight w:val="none"/>
        </w:rPr>
        <w:t>确定</w:t>
      </w:r>
      <w:r>
        <w:rPr>
          <w:rFonts w:ascii="宋体" w:hAnsi="宋体"/>
          <w:color w:val="auto"/>
          <w:szCs w:val="21"/>
          <w:highlight w:val="none"/>
        </w:rPr>
        <w:t>投标</w:t>
      </w:r>
      <w:r>
        <w:rPr>
          <w:rFonts w:hint="eastAsia" w:ascii="宋体" w:hAnsi="宋体"/>
          <w:color w:val="auto"/>
          <w:szCs w:val="21"/>
          <w:highlight w:val="none"/>
        </w:rPr>
        <w:t>报价</w:t>
      </w:r>
      <w:r>
        <w:rPr>
          <w:rFonts w:ascii="宋体" w:hAnsi="宋体"/>
          <w:color w:val="auto"/>
          <w:szCs w:val="21"/>
          <w:highlight w:val="none"/>
        </w:rPr>
        <w:t>最低</w:t>
      </w:r>
      <w:r>
        <w:rPr>
          <w:rFonts w:hint="eastAsia" w:ascii="宋体" w:hAnsi="宋体"/>
          <w:color w:val="auto"/>
          <w:szCs w:val="21"/>
          <w:highlight w:val="none"/>
        </w:rPr>
        <w:t>且</w:t>
      </w:r>
      <w:r>
        <w:rPr>
          <w:rFonts w:ascii="宋体" w:hAnsi="宋体"/>
          <w:color w:val="auto"/>
          <w:szCs w:val="21"/>
          <w:highlight w:val="none"/>
        </w:rPr>
        <w:t>排名第一的投标供应商为中标</w:t>
      </w:r>
      <w:r>
        <w:rPr>
          <w:rFonts w:hint="eastAsia" w:ascii="宋体" w:hAnsi="宋体"/>
          <w:color w:val="auto"/>
          <w:szCs w:val="21"/>
          <w:highlight w:val="none"/>
        </w:rPr>
        <w:t>单位。</w:t>
      </w:r>
    </w:p>
    <w:p>
      <w:pPr>
        <w:spacing w:line="440" w:lineRule="exact"/>
        <w:ind w:firstLine="422" w:firstLineChars="200"/>
        <w:rPr>
          <w:b/>
          <w:color w:val="auto"/>
          <w:highlight w:val="none"/>
        </w:rPr>
      </w:pPr>
      <w:r>
        <w:rPr>
          <w:rFonts w:hint="eastAsia"/>
          <w:b/>
          <w:color w:val="auto"/>
          <w:highlight w:val="none"/>
        </w:rPr>
        <w:t>（二）评标和定标分离的方式</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符合性检查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44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商务</w:t>
      </w:r>
      <w:r>
        <w:rPr>
          <w:rFonts w:hint="eastAsia" w:ascii="宋体" w:hAnsi="宋体"/>
          <w:b/>
          <w:color w:val="auto"/>
          <w:szCs w:val="21"/>
          <w:highlight w:val="none"/>
        </w:rPr>
        <w:t>、</w:t>
      </w:r>
      <w:r>
        <w:rPr>
          <w:rFonts w:ascii="宋体" w:hAnsi="宋体"/>
          <w:b/>
          <w:color w:val="auto"/>
          <w:szCs w:val="21"/>
          <w:highlight w:val="none"/>
        </w:rPr>
        <w:t>技术及价格评议</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评标委员会根据《</w:t>
      </w:r>
      <w:r>
        <w:rPr>
          <w:rFonts w:hint="eastAsia" w:ascii="宋体" w:hAnsi="宋体"/>
          <w:color w:val="auto"/>
          <w:szCs w:val="21"/>
          <w:highlight w:val="none"/>
        </w:rPr>
        <w:t>评分表</w:t>
      </w:r>
      <w:r>
        <w:rPr>
          <w:rFonts w:ascii="宋体" w:hAnsi="宋体"/>
          <w:color w:val="auto"/>
          <w:szCs w:val="21"/>
          <w:highlight w:val="none"/>
        </w:rPr>
        <w:t>》的内容和标准，对通过</w:t>
      </w:r>
      <w:r>
        <w:rPr>
          <w:rFonts w:hint="eastAsia" w:ascii="宋体" w:hAnsi="宋体"/>
          <w:bCs/>
          <w:color w:val="auto"/>
          <w:szCs w:val="21"/>
          <w:highlight w:val="none"/>
        </w:rPr>
        <w:t>资格性和</w:t>
      </w:r>
      <w:r>
        <w:rPr>
          <w:rFonts w:ascii="宋体" w:hAnsi="宋体"/>
          <w:bCs/>
          <w:color w:val="auto"/>
          <w:szCs w:val="21"/>
          <w:highlight w:val="none"/>
        </w:rPr>
        <w:t>符合性</w:t>
      </w:r>
      <w:r>
        <w:rPr>
          <w:rFonts w:ascii="宋体" w:hAnsi="宋体"/>
          <w:color w:val="auto"/>
          <w:szCs w:val="21"/>
          <w:highlight w:val="none"/>
        </w:rPr>
        <w:t>检查的投标进行商务</w:t>
      </w:r>
      <w:r>
        <w:rPr>
          <w:rFonts w:hint="eastAsia" w:ascii="宋体" w:hAnsi="宋体"/>
          <w:color w:val="auto"/>
          <w:szCs w:val="21"/>
          <w:highlight w:val="none"/>
        </w:rPr>
        <w:t>、</w:t>
      </w:r>
      <w:r>
        <w:rPr>
          <w:rFonts w:ascii="宋体" w:hAnsi="宋体"/>
          <w:color w:val="auto"/>
          <w:szCs w:val="21"/>
          <w:highlight w:val="none"/>
        </w:rPr>
        <w:t>技术</w:t>
      </w:r>
      <w:r>
        <w:rPr>
          <w:rFonts w:hint="eastAsia" w:ascii="宋体" w:hAnsi="宋体"/>
          <w:color w:val="auto"/>
          <w:szCs w:val="21"/>
          <w:highlight w:val="none"/>
        </w:rPr>
        <w:t>及价格</w:t>
      </w:r>
      <w:r>
        <w:rPr>
          <w:rFonts w:ascii="宋体" w:hAnsi="宋体"/>
          <w:color w:val="auto"/>
          <w:szCs w:val="21"/>
          <w:highlight w:val="none"/>
        </w:rPr>
        <w:t>评议。</w:t>
      </w:r>
    </w:p>
    <w:p>
      <w:pPr>
        <w:spacing w:line="440" w:lineRule="exact"/>
        <w:ind w:firstLine="420" w:firstLineChars="200"/>
        <w:rPr>
          <w:rFonts w:ascii="Calibri" w:hAnsi="Calibri"/>
          <w:color w:val="auto"/>
          <w:szCs w:val="21"/>
          <w:highlight w:val="none"/>
        </w:rPr>
      </w:pPr>
      <w:r>
        <w:rPr>
          <w:rFonts w:hint="eastAsia" w:ascii="宋体" w:hAnsi="宋体"/>
          <w:color w:val="auto"/>
          <w:szCs w:val="21"/>
          <w:highlight w:val="none"/>
        </w:rPr>
        <w:t>（2）</w:t>
      </w:r>
      <w:r>
        <w:rPr>
          <w:rFonts w:ascii="宋体" w:hAnsi="宋体"/>
          <w:color w:val="auto"/>
          <w:szCs w:val="21"/>
          <w:highlight w:val="none"/>
        </w:rPr>
        <w:t>评</w:t>
      </w:r>
      <w:r>
        <w:rPr>
          <w:rFonts w:ascii="Calibri" w:hAnsi="宋体"/>
          <w:color w:val="auto"/>
          <w:szCs w:val="21"/>
          <w:highlight w:val="none"/>
        </w:rPr>
        <w:t>标委员会将对照招标文件中的商务、技术需求条款和投标文件中的商务、技术条款响应进行评议</w:t>
      </w:r>
      <w:r>
        <w:rPr>
          <w:rFonts w:hint="eastAsia" w:ascii="Calibri" w:hAnsi="宋体"/>
          <w:color w:val="auto"/>
          <w:szCs w:val="21"/>
          <w:highlight w:val="none"/>
        </w:rPr>
        <w:t>；</w:t>
      </w:r>
      <w:r>
        <w:rPr>
          <w:rFonts w:ascii="Calibri" w:hAnsi="宋体"/>
          <w:color w:val="auto"/>
          <w:szCs w:val="21"/>
          <w:highlight w:val="none"/>
        </w:rPr>
        <w:t>评标委员会成员将按照《</w:t>
      </w:r>
      <w:r>
        <w:rPr>
          <w:rFonts w:hint="eastAsia" w:ascii="Calibri" w:hAnsi="宋体"/>
          <w:color w:val="auto"/>
          <w:szCs w:val="21"/>
          <w:highlight w:val="none"/>
        </w:rPr>
        <w:t>评分表</w:t>
      </w:r>
      <w:r>
        <w:rPr>
          <w:rFonts w:ascii="Calibri" w:hAnsi="宋体"/>
          <w:color w:val="auto"/>
          <w:szCs w:val="21"/>
          <w:highlight w:val="none"/>
        </w:rPr>
        <w:t>》确定的</w:t>
      </w:r>
      <w:r>
        <w:rPr>
          <w:rFonts w:hint="eastAsia" w:ascii="Calibri" w:hAnsi="宋体"/>
          <w:color w:val="auto"/>
          <w:szCs w:val="21"/>
          <w:highlight w:val="none"/>
        </w:rPr>
        <w:t>分值</w:t>
      </w:r>
      <w:r>
        <w:rPr>
          <w:rFonts w:ascii="Calibri" w:hAnsi="宋体"/>
          <w:color w:val="auto"/>
          <w:szCs w:val="21"/>
          <w:highlight w:val="none"/>
        </w:rPr>
        <w:t>独立对每个投标的商务</w:t>
      </w:r>
      <w:r>
        <w:rPr>
          <w:rFonts w:hint="eastAsia" w:ascii="Calibri" w:hAnsi="宋体"/>
          <w:color w:val="auto"/>
          <w:szCs w:val="21"/>
          <w:highlight w:val="none"/>
        </w:rPr>
        <w:t>、</w:t>
      </w:r>
      <w:r>
        <w:rPr>
          <w:rFonts w:ascii="Calibri" w:hAnsi="宋体"/>
          <w:color w:val="auto"/>
          <w:szCs w:val="21"/>
          <w:highlight w:val="none"/>
        </w:rPr>
        <w:t>技术</w:t>
      </w:r>
      <w:r>
        <w:rPr>
          <w:rFonts w:hint="eastAsia" w:ascii="Calibri" w:hAnsi="宋体"/>
          <w:color w:val="auto"/>
          <w:szCs w:val="21"/>
          <w:highlight w:val="none"/>
        </w:rPr>
        <w:t>及价格</w:t>
      </w:r>
      <w:r>
        <w:rPr>
          <w:rFonts w:ascii="Calibri" w:hAnsi="宋体"/>
          <w:color w:val="auto"/>
          <w:szCs w:val="21"/>
          <w:highlight w:val="none"/>
        </w:rPr>
        <w:t>部分以打分的方式进行评议。</w:t>
      </w:r>
    </w:p>
    <w:p>
      <w:pPr>
        <w:spacing w:line="440" w:lineRule="exact"/>
        <w:ind w:firstLine="422" w:firstLineChars="200"/>
        <w:rPr>
          <w:rFonts w:ascii="Calibri" w:hAnsi="Calibri"/>
          <w:b/>
          <w:color w:val="auto"/>
          <w:szCs w:val="21"/>
          <w:highlight w:val="none"/>
        </w:rPr>
      </w:pPr>
      <w:r>
        <w:rPr>
          <w:rFonts w:hint="eastAsia" w:ascii="宋体" w:hAnsi="宋体"/>
          <w:b/>
          <w:color w:val="auto"/>
          <w:szCs w:val="21"/>
          <w:highlight w:val="none"/>
        </w:rPr>
        <w:t>3、</w:t>
      </w:r>
      <w:r>
        <w:rPr>
          <w:rFonts w:ascii="Calibri" w:hAnsi="宋体"/>
          <w:b/>
          <w:color w:val="auto"/>
          <w:szCs w:val="21"/>
          <w:highlight w:val="none"/>
        </w:rPr>
        <w:t>中标</w:t>
      </w:r>
      <w:r>
        <w:rPr>
          <w:rFonts w:hint="eastAsia" w:ascii="Calibri" w:hAnsi="宋体"/>
          <w:b/>
          <w:color w:val="auto"/>
          <w:szCs w:val="21"/>
          <w:highlight w:val="none"/>
        </w:rPr>
        <w:t>单位</w:t>
      </w:r>
      <w:r>
        <w:rPr>
          <w:rFonts w:ascii="Calibri" w:hAnsi="宋体"/>
          <w:b/>
          <w:color w:val="auto"/>
          <w:szCs w:val="21"/>
          <w:highlight w:val="none"/>
        </w:rPr>
        <w:t>的确定</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3.1  </w:t>
      </w:r>
      <w:r>
        <w:rPr>
          <w:rFonts w:hint="eastAsia" w:ascii="宋体" w:hAnsi="宋体"/>
          <w:b/>
          <w:bCs/>
          <w:color w:val="auto"/>
          <w:szCs w:val="21"/>
          <w:highlight w:val="none"/>
        </w:rPr>
        <w:t>候选中标供应商推荐</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（1）每个投标单位的评标总得分以</w:t>
      </w:r>
      <w:r>
        <w:rPr>
          <w:rFonts w:hint="eastAsia" w:ascii="宋体" w:hAnsi="宋体"/>
          <w:color w:val="auto"/>
          <w:szCs w:val="21"/>
          <w:highlight w:val="none"/>
        </w:rPr>
        <w:t>所有评标委员会成员的独立评分汇总</w:t>
      </w:r>
      <w:r>
        <w:rPr>
          <w:rFonts w:hint="eastAsia" w:ascii="宋体" w:hAnsi="宋体"/>
          <w:bCs/>
          <w:color w:val="auto"/>
          <w:szCs w:val="21"/>
          <w:highlight w:val="none"/>
        </w:rPr>
        <w:t>后确定，</w:t>
      </w:r>
      <w:r>
        <w:rPr>
          <w:rFonts w:ascii="宋体" w:hAnsi="宋体"/>
          <w:bCs/>
          <w:color w:val="auto"/>
          <w:szCs w:val="21"/>
          <w:highlight w:val="none"/>
        </w:rPr>
        <w:t>评标总得分相同的，按投标报价由低到高顺序排列；评标总得分且投标报价相同的，按技术指标</w:t>
      </w:r>
      <w:r>
        <w:rPr>
          <w:rFonts w:hint="eastAsia" w:ascii="宋体" w:hAnsi="宋体"/>
          <w:bCs/>
          <w:color w:val="auto"/>
          <w:szCs w:val="21"/>
          <w:highlight w:val="none"/>
        </w:rPr>
        <w:t>（技术部分）</w:t>
      </w:r>
      <w:r>
        <w:rPr>
          <w:rFonts w:ascii="宋体" w:hAnsi="宋体"/>
          <w:bCs/>
          <w:color w:val="auto"/>
          <w:szCs w:val="21"/>
          <w:highlight w:val="none"/>
        </w:rPr>
        <w:t>得分优劣顺序排列</w:t>
      </w:r>
      <w:r>
        <w:rPr>
          <w:rFonts w:hint="eastAsia" w:ascii="Calibri" w:hAnsi="宋体"/>
          <w:color w:val="auto"/>
          <w:szCs w:val="21"/>
          <w:highlight w:val="none"/>
        </w:rPr>
        <w:t>；如</w:t>
      </w:r>
      <w:r>
        <w:rPr>
          <w:rFonts w:ascii="Calibri" w:hAnsi="宋体"/>
          <w:color w:val="auto"/>
          <w:szCs w:val="21"/>
          <w:highlight w:val="none"/>
        </w:rPr>
        <w:t>技术指标</w:t>
      </w:r>
      <w:r>
        <w:rPr>
          <w:rFonts w:hint="eastAsia" w:ascii="Calibri" w:hAnsi="宋体"/>
          <w:color w:val="auto"/>
          <w:szCs w:val="21"/>
          <w:highlight w:val="none"/>
        </w:rPr>
        <w:t>（技术部分）</w:t>
      </w:r>
      <w:r>
        <w:rPr>
          <w:rFonts w:ascii="Calibri" w:hAnsi="宋体"/>
          <w:color w:val="auto"/>
          <w:szCs w:val="21"/>
          <w:highlight w:val="none"/>
        </w:rPr>
        <w:t>得分</w:t>
      </w:r>
      <w:r>
        <w:rPr>
          <w:rFonts w:hint="eastAsia" w:ascii="Calibri" w:hAnsi="宋体"/>
          <w:color w:val="auto"/>
          <w:szCs w:val="21"/>
          <w:highlight w:val="none"/>
        </w:rPr>
        <w:t>仍然相同的，则采用抽签方式确定排序，</w:t>
      </w:r>
      <w:r>
        <w:rPr>
          <w:rFonts w:hint="eastAsia" w:asciiTheme="minorEastAsia" w:hAnsiTheme="minorEastAsia" w:eastAsiaTheme="minorEastAsia"/>
          <w:color w:val="auto"/>
          <w:szCs w:val="21"/>
          <w:highlight w:val="none"/>
        </w:rPr>
        <w:t>具体操作办法及流程由评标委员会确定</w:t>
      </w:r>
      <w:r>
        <w:rPr>
          <w:rFonts w:ascii="宋体" w:hAnsi="宋体"/>
          <w:bCs/>
          <w:color w:val="auto"/>
          <w:szCs w:val="21"/>
          <w:highlight w:val="none"/>
        </w:rPr>
        <w:t>。</w:t>
      </w:r>
    </w:p>
    <w:p>
      <w:pPr>
        <w:spacing w:line="440" w:lineRule="exact"/>
        <w:ind w:firstLine="420" w:firstLineChars="200"/>
        <w:rPr>
          <w:color w:val="auto"/>
          <w:szCs w:val="21"/>
          <w:highlight w:val="none"/>
        </w:rPr>
      </w:pPr>
      <w:r>
        <w:rPr>
          <w:rFonts w:hint="eastAsia" w:ascii="宋体" w:hAnsi="宋体"/>
          <w:bCs/>
          <w:color w:val="auto"/>
          <w:szCs w:val="21"/>
          <w:highlight w:val="none"/>
        </w:rPr>
        <w:t>（2）评标委员会按照综合评分的排名结果推荐中标候选供应商，</w:t>
      </w:r>
      <w:r>
        <w:rPr>
          <w:rFonts w:hint="eastAsia" w:ascii="宋体" w:hAnsi="宋体"/>
          <w:color w:val="auto"/>
          <w:szCs w:val="21"/>
          <w:highlight w:val="none"/>
        </w:rPr>
        <w:t>排名前三的投标单位</w:t>
      </w:r>
      <w:r>
        <w:rPr>
          <w:rFonts w:hint="eastAsia" w:ascii="宋体" w:hAnsi="宋体"/>
          <w:bCs/>
          <w:color w:val="auto"/>
          <w:szCs w:val="21"/>
          <w:highlight w:val="none"/>
        </w:rPr>
        <w:t>作为推荐的候选中标供应商（排名不分先后）。</w:t>
      </w:r>
    </w:p>
    <w:p>
      <w:pPr>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3.2  定标</w:t>
      </w:r>
    </w:p>
    <w:p>
      <w:pPr>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采购单位从评标委员会推荐的候选中标供应商中，</w:t>
      </w:r>
      <w:r>
        <w:rPr>
          <w:rFonts w:ascii="宋体" w:hAnsi="宋体"/>
          <w:bCs/>
          <w:color w:val="auto"/>
          <w:szCs w:val="21"/>
          <w:highlight w:val="none"/>
        </w:rPr>
        <w:t>采用</w:t>
      </w:r>
      <w:r>
        <w:rPr>
          <w:rFonts w:ascii="宋体" w:hAnsi="宋体"/>
          <w:b/>
          <w:bCs/>
          <w:color w:val="auto"/>
          <w:szCs w:val="21"/>
          <w:highlight w:val="none"/>
        </w:rPr>
        <w:t>自定法</w:t>
      </w:r>
      <w:r>
        <w:rPr>
          <w:rFonts w:hint="eastAsia" w:ascii="宋体" w:hAnsi="宋体"/>
          <w:bCs/>
          <w:color w:val="auto"/>
          <w:szCs w:val="21"/>
          <w:highlight w:val="none"/>
        </w:rPr>
        <w:t>自行选择确定一名中标单位，具体操作程序按照《深圳市政府采购评标定标分离管理办法》要求执行。</w:t>
      </w:r>
    </w:p>
    <w:p>
      <w:pPr>
        <w:spacing w:line="440" w:lineRule="exact"/>
        <w:ind w:firstLine="386" w:firstLineChars="183"/>
        <w:rPr>
          <w:rFonts w:ascii="宋体" w:hAnsi="宋体"/>
          <w:b/>
          <w:color w:val="auto"/>
          <w:szCs w:val="21"/>
          <w:highlight w:val="none"/>
        </w:rPr>
      </w:pPr>
      <w:r>
        <w:rPr>
          <w:rFonts w:hint="eastAsia" w:ascii="宋体" w:hAnsi="宋体"/>
          <w:b/>
          <w:color w:val="auto"/>
          <w:szCs w:val="21"/>
          <w:highlight w:val="none"/>
        </w:rPr>
        <w:t>4、质疑投诉处理：</w:t>
      </w:r>
      <w:r>
        <w:rPr>
          <w:rFonts w:hint="eastAsia" w:ascii="宋体" w:hAnsi="宋体"/>
          <w:color w:val="auto"/>
          <w:szCs w:val="21"/>
          <w:highlight w:val="none"/>
        </w:rPr>
        <w:t>确定中标单位后出现质疑投诉的，按照以下程序进行处理：（1）中标单位因质疑、投诉等问题被取消或</w:t>
      </w:r>
      <w:r>
        <w:rPr>
          <w:rFonts w:ascii="宋体" w:hAnsi="宋体"/>
          <w:color w:val="auto"/>
          <w:szCs w:val="21"/>
          <w:highlight w:val="none"/>
        </w:rPr>
        <w:t>放弃</w:t>
      </w:r>
      <w:r>
        <w:rPr>
          <w:rFonts w:hint="eastAsia" w:ascii="宋体" w:hAnsi="宋体"/>
          <w:color w:val="auto"/>
          <w:szCs w:val="21"/>
          <w:highlight w:val="none"/>
        </w:rPr>
        <w:t>候选中标资格，候选</w:t>
      </w:r>
      <w:r>
        <w:rPr>
          <w:rFonts w:ascii="宋体" w:hAnsi="宋体"/>
          <w:color w:val="auto"/>
          <w:szCs w:val="21"/>
          <w:highlight w:val="none"/>
        </w:rPr>
        <w:t>中标</w:t>
      </w:r>
      <w:r>
        <w:rPr>
          <w:rFonts w:hint="eastAsia" w:ascii="宋体" w:hAnsi="宋体"/>
          <w:color w:val="auto"/>
          <w:szCs w:val="21"/>
          <w:highlight w:val="none"/>
        </w:rPr>
        <w:t>供应商</w:t>
      </w:r>
      <w:r>
        <w:rPr>
          <w:rFonts w:ascii="宋体" w:hAnsi="宋体"/>
          <w:color w:val="auto"/>
          <w:szCs w:val="21"/>
          <w:highlight w:val="none"/>
        </w:rPr>
        <w:t>不再</w:t>
      </w:r>
      <w:r>
        <w:rPr>
          <w:rFonts w:hint="eastAsia" w:ascii="宋体" w:hAnsi="宋体"/>
          <w:color w:val="auto"/>
          <w:szCs w:val="21"/>
          <w:highlight w:val="none"/>
        </w:rPr>
        <w:t>替补</w:t>
      </w:r>
      <w:r>
        <w:rPr>
          <w:rFonts w:ascii="宋体" w:hAnsi="宋体"/>
          <w:color w:val="auto"/>
          <w:szCs w:val="21"/>
          <w:highlight w:val="none"/>
        </w:rPr>
        <w:t>，</w:t>
      </w:r>
      <w:r>
        <w:rPr>
          <w:rFonts w:hint="eastAsia" w:ascii="宋体" w:hAnsi="宋体"/>
          <w:color w:val="auto"/>
          <w:szCs w:val="21"/>
          <w:highlight w:val="none"/>
        </w:rPr>
        <w:t>如有效</w:t>
      </w:r>
      <w:r>
        <w:rPr>
          <w:rFonts w:ascii="宋体" w:hAnsi="宋体"/>
          <w:color w:val="auto"/>
          <w:szCs w:val="21"/>
          <w:highlight w:val="none"/>
        </w:rPr>
        <w:t>投标</w:t>
      </w:r>
      <w:r>
        <w:rPr>
          <w:rFonts w:hint="eastAsia" w:ascii="宋体" w:hAnsi="宋体"/>
          <w:color w:val="auto"/>
          <w:szCs w:val="21"/>
          <w:highlight w:val="none"/>
        </w:rPr>
        <w:t>供应商满足</w:t>
      </w:r>
      <w:r>
        <w:rPr>
          <w:rFonts w:ascii="宋体" w:hAnsi="宋体"/>
          <w:color w:val="auto"/>
          <w:szCs w:val="21"/>
          <w:highlight w:val="none"/>
        </w:rPr>
        <w:t>法定数量</w:t>
      </w:r>
      <w:r>
        <w:rPr>
          <w:rFonts w:hint="eastAsia" w:ascii="宋体" w:hAnsi="宋体"/>
          <w:color w:val="auto"/>
          <w:szCs w:val="21"/>
          <w:highlight w:val="none"/>
        </w:rPr>
        <w:t>，可按</w:t>
      </w:r>
      <w:r>
        <w:rPr>
          <w:rFonts w:ascii="宋体" w:hAnsi="宋体"/>
          <w:color w:val="auto"/>
          <w:szCs w:val="21"/>
          <w:highlight w:val="none"/>
        </w:rPr>
        <w:t>相关规定</w:t>
      </w:r>
      <w:r>
        <w:rPr>
          <w:rFonts w:hint="eastAsia" w:ascii="宋体" w:hAnsi="宋体"/>
          <w:color w:val="auto"/>
          <w:szCs w:val="21"/>
          <w:highlight w:val="none"/>
        </w:rPr>
        <w:t>在</w:t>
      </w:r>
      <w:r>
        <w:rPr>
          <w:rFonts w:ascii="宋体" w:hAnsi="宋体"/>
          <w:color w:val="auto"/>
          <w:szCs w:val="21"/>
          <w:highlight w:val="none"/>
        </w:rPr>
        <w:t>其他</w:t>
      </w:r>
      <w:r>
        <w:rPr>
          <w:rFonts w:hint="eastAsia" w:ascii="宋体" w:hAnsi="宋体"/>
          <w:color w:val="auto"/>
          <w:szCs w:val="21"/>
          <w:highlight w:val="none"/>
        </w:rPr>
        <w:t>候选</w:t>
      </w:r>
      <w:r>
        <w:rPr>
          <w:rFonts w:ascii="宋体" w:hAnsi="宋体"/>
          <w:color w:val="auto"/>
          <w:szCs w:val="21"/>
          <w:highlight w:val="none"/>
        </w:rPr>
        <w:t>中标</w:t>
      </w:r>
      <w:r>
        <w:rPr>
          <w:rFonts w:hint="eastAsia" w:ascii="宋体" w:hAnsi="宋体"/>
          <w:color w:val="auto"/>
          <w:szCs w:val="21"/>
          <w:highlight w:val="none"/>
        </w:rPr>
        <w:t>供应商中另行</w:t>
      </w:r>
      <w:r>
        <w:rPr>
          <w:rFonts w:ascii="宋体" w:hAnsi="宋体"/>
          <w:color w:val="auto"/>
          <w:szCs w:val="21"/>
          <w:highlight w:val="none"/>
        </w:rPr>
        <w:t>确定中标</w:t>
      </w:r>
      <w:r>
        <w:rPr>
          <w:rFonts w:hint="eastAsia" w:ascii="宋体" w:hAnsi="宋体"/>
          <w:color w:val="auto"/>
          <w:szCs w:val="21"/>
          <w:highlight w:val="none"/>
        </w:rPr>
        <w:t>单位</w:t>
      </w:r>
      <w:r>
        <w:rPr>
          <w:rFonts w:ascii="宋体" w:hAnsi="宋体"/>
          <w:color w:val="auto"/>
          <w:szCs w:val="21"/>
          <w:highlight w:val="none"/>
        </w:rPr>
        <w:t>，或者</w:t>
      </w:r>
      <w:r>
        <w:rPr>
          <w:rFonts w:hint="eastAsia" w:ascii="宋体" w:hAnsi="宋体"/>
          <w:color w:val="auto"/>
          <w:szCs w:val="21"/>
          <w:highlight w:val="none"/>
        </w:rPr>
        <w:t>重新组织招标；（2）候选中标供应商因质疑、投诉等问题被取消候选中标资格，如有效</w:t>
      </w:r>
      <w:r>
        <w:rPr>
          <w:rFonts w:ascii="宋体" w:hAnsi="宋体"/>
          <w:color w:val="auto"/>
          <w:szCs w:val="21"/>
          <w:highlight w:val="none"/>
        </w:rPr>
        <w:t>投标</w:t>
      </w:r>
      <w:r>
        <w:rPr>
          <w:rFonts w:hint="eastAsia" w:ascii="宋体" w:hAnsi="宋体"/>
          <w:color w:val="auto"/>
          <w:szCs w:val="21"/>
          <w:highlight w:val="none"/>
        </w:rPr>
        <w:t>供应商满足</w:t>
      </w:r>
      <w:r>
        <w:rPr>
          <w:rFonts w:ascii="宋体" w:hAnsi="宋体"/>
          <w:color w:val="auto"/>
          <w:szCs w:val="21"/>
          <w:highlight w:val="none"/>
        </w:rPr>
        <w:t>法定数量</w:t>
      </w:r>
      <w:r>
        <w:rPr>
          <w:rFonts w:hint="eastAsia" w:ascii="宋体" w:hAnsi="宋体"/>
          <w:color w:val="auto"/>
          <w:szCs w:val="21"/>
          <w:highlight w:val="none"/>
        </w:rPr>
        <w:t>，则维持原中标结果；如有效</w:t>
      </w:r>
      <w:r>
        <w:rPr>
          <w:rFonts w:ascii="宋体" w:hAnsi="宋体"/>
          <w:color w:val="auto"/>
          <w:szCs w:val="21"/>
          <w:highlight w:val="none"/>
        </w:rPr>
        <w:t>投标</w:t>
      </w:r>
      <w:r>
        <w:rPr>
          <w:rFonts w:hint="eastAsia" w:ascii="宋体" w:hAnsi="宋体"/>
          <w:color w:val="auto"/>
          <w:szCs w:val="21"/>
          <w:highlight w:val="none"/>
        </w:rPr>
        <w:t>供应商不足</w:t>
      </w:r>
      <w:r>
        <w:rPr>
          <w:rFonts w:ascii="宋体" w:hAnsi="宋体"/>
          <w:color w:val="auto"/>
          <w:szCs w:val="21"/>
          <w:highlight w:val="none"/>
        </w:rPr>
        <w:t>法定数量</w:t>
      </w:r>
      <w:r>
        <w:rPr>
          <w:rFonts w:hint="eastAsia" w:ascii="宋体" w:hAnsi="宋体"/>
          <w:color w:val="auto"/>
          <w:szCs w:val="21"/>
          <w:highlight w:val="none"/>
        </w:rPr>
        <w:t>，则该项目作废标处理，重新组织招标。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167AC"/>
    <w:multiLevelType w:val="singleLevel"/>
    <w:tmpl w:val="B41167AC"/>
    <w:lvl w:ilvl="0" w:tentative="0">
      <w:start w:val="1"/>
      <w:numFmt w:val="decimal"/>
      <w:suff w:val="nothing"/>
      <w:lvlText w:val="（%1）"/>
      <w:lvlJc w:val="left"/>
    </w:lvl>
  </w:abstractNum>
  <w:abstractNum w:abstractNumId="1">
    <w:nsid w:val="2A8A216A"/>
    <w:multiLevelType w:val="multilevel"/>
    <w:tmpl w:val="2A8A216A"/>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4138E"/>
    <w:rsid w:val="05F4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3">
    <w:name w:val="Body Text"/>
    <w:basedOn w:val="1"/>
    <w:next w:val="1"/>
    <w:qFormat/>
    <w:uiPriority w:val="0"/>
    <w:rPr>
      <w:rFonts w:ascii="仿宋_GB2312" w:eastAsia="仿宋_GB2312"/>
      <w:sz w:val="32"/>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2023-02-10T03:02:00Z</dcterms:created>
  <dc:creator>Eileen</dc:creator>
  <cp:lastModifiedBy>Eileen</cp:lastModifiedBy>
  <dcterms:modified xsi:type="dcterms:W3CDTF">2023-02-10T03:03:12Z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32F1C32FD5F54194920D69CDE05BEF21</vt:lpwstr>
  </property>
</Properties>
</file>